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p>
      <w:pPr>
        <w:spacing w:line="400" w:lineRule="exact"/>
        <w:rPr>
          <w:rFonts w:ascii="方正小标宋简体" w:hAnsi="方正小标宋简体" w:eastAsia="方正小标宋简体" w:cs="方正小标宋简体"/>
          <w:color w:val="000000"/>
          <w:sz w:val="44"/>
          <w:szCs w:val="44"/>
        </w:rPr>
      </w:pPr>
      <w:r>
        <w:rPr>
          <w:rFonts w:hint="eastAsia" w:hAnsi="仿宋"/>
          <w:b/>
          <w:color w:val="000000"/>
        </w:rPr>
        <w:t>（表格内字体为五号仿宋_GB2312）</w:t>
      </w:r>
    </w:p>
    <w:tbl>
      <w:tblPr>
        <w:tblStyle w:val="4"/>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1450" w:type="dxa"/>
            <w:vMerge w:val="restart"/>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Merge w:val="restart"/>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ascii="华文中宋" w:hAnsi="华文中宋" w:eastAsia="华文中宋"/>
                <w:color w:val="000000"/>
                <w:sz w:val="28"/>
              </w:rPr>
            </w:pPr>
            <w:bookmarkStart w:id="0" w:name="OLE_LINK1"/>
            <w:r>
              <w:rPr>
                <w:rFonts w:hint="eastAsia"/>
                <w:b w:val="0"/>
                <w:bCs w:val="0"/>
                <w:sz w:val="21"/>
                <w:szCs w:val="21"/>
                <w:lang w:eastAsia="zh-CN"/>
              </w:rPr>
              <w:t>“新”的力量</w:t>
            </w:r>
            <w:bookmarkEnd w:id="0"/>
            <w:r>
              <w:rPr>
                <w:rFonts w:hint="eastAsia"/>
                <w:b w:val="0"/>
                <w:bCs w:val="0"/>
                <w:sz w:val="21"/>
                <w:szCs w:val="21"/>
                <w:lang w:eastAsia="zh-CN"/>
              </w:rPr>
              <w:t>——</w:t>
            </w:r>
            <w:r>
              <w:rPr>
                <w:rFonts w:hint="eastAsia"/>
                <w:b w:val="0"/>
                <w:bCs w:val="0"/>
                <w:sz w:val="21"/>
                <w:szCs w:val="21"/>
                <w:lang w:val="en-US" w:eastAsia="zh-CN"/>
              </w:rPr>
              <w:t>新质生产力在衡阳</w:t>
            </w: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260" w:lineRule="exact"/>
              <w:jc w:val="center"/>
              <w:rPr>
                <w:rFonts w:ascii="仿宋" w:hAnsi="仿宋" w:eastAsia="仿宋" w:cs="仿宋"/>
                <w:color w:val="000000"/>
                <w:szCs w:val="18"/>
              </w:rPr>
            </w:pPr>
            <w:r>
              <w:rPr>
                <w:rFonts w:hint="eastAsia" w:ascii="仿宋" w:hAnsi="仿宋" w:eastAsia="仿宋" w:cs="仿宋"/>
                <w:b w:val="0"/>
                <w:bCs w:val="0"/>
                <w:color w:val="000000"/>
                <w:sz w:val="21"/>
                <w:szCs w:val="21"/>
                <w:lang w:val="en-US" w:eastAsia="zh-CN"/>
              </w:rPr>
              <w:t>重大主题报道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center"/>
              <w:rPr>
                <w:rFonts w:hAnsi="仿宋"/>
                <w:color w:val="000000"/>
                <w:sz w:val="28"/>
              </w:rPr>
            </w:pPr>
            <w:r>
              <w:rPr>
                <w:rFonts w:hint="eastAsia" w:ascii="仿宋" w:hAnsi="仿宋" w:eastAsia="仿宋" w:cs="仿宋"/>
                <w:b w:val="0"/>
                <w:bCs w:val="0"/>
                <w:sz w:val="21"/>
                <w:szCs w:val="21"/>
                <w:lang w:val="en-US" w:eastAsia="zh-CN"/>
              </w:rPr>
              <w:t>新媒体系列报道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jc w:val="left"/>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50" w:type="dxa"/>
            <w:vAlign w:val="center"/>
          </w:tcPr>
          <w:p>
            <w:pPr>
              <w:spacing w:line="320" w:lineRule="exact"/>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rPr>
                <w:rFonts w:ascii="华文中宋" w:hAnsi="华文中宋" w:eastAsia="华文中宋"/>
                <w:color w:val="000000"/>
                <w:spacing w:val="-12"/>
              </w:rPr>
            </w:pPr>
            <w:r>
              <w:rPr>
                <w:rFonts w:hint="eastAsia" w:ascii="华文中宋" w:hAnsi="华文中宋" w:eastAsia="华文中宋"/>
                <w:color w:val="000000"/>
                <w:spacing w:val="-12"/>
              </w:rPr>
              <w:t>（主创人员）</w:t>
            </w:r>
          </w:p>
        </w:tc>
        <w:tc>
          <w:tcPr>
            <w:tcW w:w="2679" w:type="dxa"/>
            <w:gridSpan w:val="2"/>
            <w:vAlign w:val="center"/>
          </w:tcPr>
          <w:p>
            <w:pPr>
              <w:spacing w:line="260" w:lineRule="exact"/>
              <w:jc w:val="left"/>
              <w:rPr>
                <w:rFonts w:hAnsi="华文中宋"/>
                <w:color w:val="000000"/>
                <w:sz w:val="28"/>
              </w:rPr>
            </w:pPr>
            <w:r>
              <w:rPr>
                <w:rFonts w:hint="eastAsia" w:ascii="仿宋" w:hAnsi="仿宋" w:eastAsia="仿宋" w:cs="仿宋"/>
                <w:color w:val="000000"/>
                <w:sz w:val="21"/>
                <w:szCs w:val="21"/>
                <w:lang w:eastAsia="zh-CN"/>
              </w:rPr>
              <w:t>王靖</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lang w:eastAsia="zh-CN"/>
              </w:rPr>
              <w:t>邓小山</w:t>
            </w:r>
            <w:r>
              <w:rPr>
                <w:rFonts w:hint="eastAsia" w:ascii="仿宋" w:hAnsi="仿宋" w:eastAsia="仿宋" w:cs="仿宋"/>
                <w:color w:val="000000"/>
                <w:sz w:val="21"/>
                <w:szCs w:val="21"/>
                <w:lang w:val="en-US" w:eastAsia="zh-CN"/>
              </w:rPr>
              <w:t xml:space="preserve"> 吴帅 王翟</w:t>
            </w:r>
          </w:p>
        </w:tc>
        <w:tc>
          <w:tcPr>
            <w:tcW w:w="855" w:type="dxa"/>
            <w:gridSpan w:val="2"/>
            <w:vAlign w:val="center"/>
          </w:tcPr>
          <w:p>
            <w:pP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ascii="仿宋" w:hAnsi="仿宋" w:eastAsia="仿宋"/>
                <w:color w:val="000000"/>
                <w:w w:val="95"/>
                <w:szCs w:val="21"/>
              </w:rPr>
            </w:pPr>
            <w:r>
              <w:rPr>
                <w:rFonts w:hint="eastAsia" w:ascii="仿宋" w:hAnsi="仿宋" w:eastAsia="仿宋" w:cs="仿宋"/>
                <w:color w:val="000000"/>
                <w:w w:val="95"/>
                <w:sz w:val="21"/>
                <w:szCs w:val="21"/>
                <w:lang w:val="en-US" w:eastAsia="zh-CN"/>
              </w:rPr>
              <w:t>张花  李少华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450" w:type="dxa"/>
            <w:vAlign w:val="center"/>
          </w:tcPr>
          <w:p>
            <w:pP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衡阳日报社</w:t>
            </w:r>
          </w:p>
          <w:p>
            <w:pPr>
              <w:spacing w:line="260" w:lineRule="exact"/>
              <w:jc w:val="center"/>
              <w:rPr>
                <w:rFonts w:hint="default" w:hAnsi="仿宋"/>
                <w:color w:val="000000"/>
                <w:sz w:val="21"/>
                <w:szCs w:val="21"/>
                <w:lang w:val="en-US"/>
              </w:rPr>
            </w:pPr>
            <w:r>
              <w:rPr>
                <w:rFonts w:hint="eastAsia" w:ascii="仿宋" w:hAnsi="仿宋" w:eastAsia="仿宋" w:cs="仿宋"/>
                <w:color w:val="000000"/>
                <w:sz w:val="21"/>
                <w:szCs w:val="21"/>
                <w:lang w:val="en-US" w:eastAsia="zh-CN"/>
              </w:rPr>
              <w:t>园区工作室</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3"/>
            <w:vAlign w:val="center"/>
          </w:tcPr>
          <w:p>
            <w:pPr>
              <w:spacing w:line="320" w:lineRule="exact"/>
              <w:jc w:val="center"/>
              <w:rPr>
                <w:rFonts w:hAnsi="仿宋_GB2312" w:cs="仿宋_GB2312"/>
                <w:color w:val="000000"/>
                <w:sz w:val="21"/>
                <w:szCs w:val="21"/>
              </w:rPr>
            </w:pPr>
            <w:r>
              <w:rPr>
                <w:rFonts w:hint="eastAsia" w:ascii="仿宋" w:hAnsi="仿宋" w:eastAsia="仿宋" w:cs="仿宋"/>
                <w:color w:val="000000"/>
                <w:sz w:val="21"/>
                <w:szCs w:val="21"/>
                <w:lang w:eastAsia="zh-CN"/>
              </w:rPr>
              <w:t>衡阳日报社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exact"/>
          <w:jc w:val="center"/>
        </w:trPr>
        <w:tc>
          <w:tcPr>
            <w:tcW w:w="1450" w:type="dxa"/>
            <w:vAlign w:val="center"/>
          </w:tcPr>
          <w:p>
            <w:pPr>
              <w:spacing w:line="440" w:lineRule="exact"/>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rPr>
              <w:t>名称和版次)</w:t>
            </w:r>
          </w:p>
        </w:tc>
        <w:tc>
          <w:tcPr>
            <w:tcW w:w="2679" w:type="dxa"/>
            <w:gridSpan w:val="2"/>
            <w:vAlign w:val="center"/>
          </w:tcPr>
          <w:p>
            <w:pPr>
              <w:spacing w:line="220" w:lineRule="exact"/>
              <w:jc w:val="center"/>
              <w:rPr>
                <w:rFonts w:hint="default" w:hAnsi="仿宋"/>
                <w:color w:val="000000"/>
                <w:sz w:val="21"/>
                <w:szCs w:val="21"/>
                <w:lang w:val="en-US"/>
              </w:rPr>
            </w:pPr>
            <w:r>
              <w:rPr>
                <w:rFonts w:hint="eastAsia" w:hAnsi="仿宋_GB2312" w:cs="仿宋_GB2312"/>
                <w:color w:val="000000"/>
                <w:sz w:val="21"/>
                <w:szCs w:val="21"/>
              </w:rPr>
              <w:t>掌上衡阳客户端</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hint="default" w:hAnsi="仿宋" w:eastAsia="仿宋_GB2312"/>
                <w:color w:val="000000"/>
                <w:szCs w:val="21"/>
                <w:lang w:val="en-US" w:eastAsia="zh-CN"/>
              </w:rPr>
            </w:pPr>
            <w:r>
              <w:rPr>
                <w:rFonts w:hint="eastAsia" w:hAnsi="仿宋"/>
                <w:color w:val="000000"/>
                <w:sz w:val="21"/>
                <w:szCs w:val="21"/>
              </w:rPr>
              <w:t>2024</w:t>
            </w:r>
            <w:r>
              <w:rPr>
                <w:rFonts w:hint="eastAsia" w:hAnsi="仿宋"/>
                <w:color w:val="000000"/>
                <w:sz w:val="21"/>
                <w:szCs w:val="21"/>
                <w:lang w:val="en-US" w:eastAsia="zh-CN"/>
              </w:rPr>
              <w:t>年</w:t>
            </w:r>
            <w:r>
              <w:rPr>
                <w:rFonts w:hint="eastAsia" w:hAnsi="仿宋"/>
                <w:color w:val="000000"/>
                <w:sz w:val="21"/>
                <w:szCs w:val="21"/>
              </w:rPr>
              <w:t>3</w:t>
            </w:r>
            <w:r>
              <w:rPr>
                <w:rFonts w:hint="eastAsia" w:hAnsi="仿宋"/>
                <w:color w:val="000000"/>
                <w:sz w:val="21"/>
                <w:szCs w:val="21"/>
                <w:lang w:val="en-US" w:eastAsia="zh-CN"/>
              </w:rPr>
              <w:t>月</w:t>
            </w:r>
            <w:r>
              <w:rPr>
                <w:rFonts w:hint="eastAsia" w:hAnsi="仿宋"/>
                <w:color w:val="000000"/>
                <w:sz w:val="21"/>
                <w:szCs w:val="21"/>
              </w:rPr>
              <w:t>8</w:t>
            </w:r>
            <w:r>
              <w:rPr>
                <w:rFonts w:hint="eastAsia" w:hAnsi="仿宋"/>
                <w:color w:val="000000"/>
                <w:sz w:val="21"/>
                <w:szCs w:val="21"/>
                <w:lang w:val="en-US" w:eastAsia="zh-CN"/>
              </w:rPr>
              <w:t>日至</w:t>
            </w:r>
            <w:bookmarkStart w:id="1" w:name="_GoBack"/>
            <w:bookmarkEnd w:id="1"/>
            <w:r>
              <w:rPr>
                <w:rFonts w:hint="eastAsia" w:hAnsi="仿宋"/>
                <w:color w:val="000000"/>
                <w:sz w:val="21"/>
                <w:szCs w:val="21"/>
                <w:lang w:val="en-US" w:eastAsia="zh-CN"/>
              </w:rPr>
              <w:t>4月17日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2827" w:type="dxa"/>
            <w:gridSpan w:val="2"/>
            <w:vAlign w:val="center"/>
          </w:tcPr>
          <w:p>
            <w:pPr>
              <w:spacing w:line="340" w:lineRule="exact"/>
              <w:rPr>
                <w:rFonts w:hAnsi="仿宋"/>
                <w:color w:val="000000"/>
                <w:szCs w:val="21"/>
              </w:rPr>
            </w:pPr>
            <w:r>
              <w:rPr>
                <w:rFonts w:hint="eastAsia" w:ascii="华文中宋" w:hAnsi="华文中宋" w:eastAsia="华文中宋"/>
                <w:color w:val="000000"/>
                <w:sz w:val="28"/>
              </w:rPr>
              <w:t>新媒体作品填报网址</w:t>
            </w:r>
          </w:p>
        </w:tc>
        <w:tc>
          <w:tcPr>
            <w:tcW w:w="6797" w:type="dxa"/>
            <w:gridSpan w:val="6"/>
            <w:vAlign w:val="center"/>
          </w:tcPr>
          <w:p>
            <w:pPr>
              <w:spacing w:line="260" w:lineRule="exact"/>
              <w:jc w:val="both"/>
              <w:rPr>
                <w:rFonts w:hAnsi="仿宋_GB2312" w:cs="仿宋_GB2312"/>
                <w:color w:val="000000"/>
                <w:sz w:val="21"/>
                <w:szCs w:val="21"/>
              </w:rPr>
            </w:pPr>
            <w:r>
              <w:rPr>
                <w:rFonts w:hint="eastAsia" w:hAnsi="仿宋_GB2312" w:cs="仿宋_GB2312"/>
                <w:color w:val="000000"/>
                <w:sz w:val="21"/>
                <w:szCs w:val="21"/>
              </w:rPr>
              <w:t>https://hyapp.hyqss.cn/cms/H5/Index.html?article=5169040&amp;type=16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1450" w:type="dxa"/>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spacing w:line="320" w:lineRule="exact"/>
              <w:ind w:firstLine="398" w:firstLineChars="200"/>
              <w:jc w:val="both"/>
              <w:rPr>
                <w:rFonts w:ascii="仿宋" w:hAnsi="仿宋" w:eastAsia="仿宋"/>
                <w:color w:val="000000"/>
                <w:w w:val="95"/>
                <w:szCs w:val="21"/>
              </w:rPr>
            </w:pPr>
            <w:r>
              <w:rPr>
                <w:rFonts w:hint="eastAsia" w:ascii="仿宋" w:hAnsi="仿宋" w:eastAsia="仿宋" w:cs="仿宋"/>
                <w:color w:val="000000"/>
                <w:w w:val="95"/>
                <w:sz w:val="21"/>
                <w:szCs w:val="21"/>
              </w:rPr>
              <w:t>习近平总书记在多次重要会议上提出要发展新质生产力,在参加十四届全国人大二次会议江苏代表团审议时，他再次作出了“因地制宜发展新质生产力”的重要论述。作者持续关注重大时政，敏锐意识到发展新质生产力将上升至国家战略层面，极具报道价值。于是学理论，悟讲话，厘清新质生产力的概念和内涵，并与衡阳市工信局及发改委相关科室多次探讨，精心拟定报道方案后，融合采访团队兵分数路，深入相关企业采访，迅速成稿，在全省率先连续推出八篇结合本地实际的主题报道，从八个不同层面深度形象剖析了如何因地制宜发展新质生产力，成为宣传贯彻落实两会精神的生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exact"/>
          <w:jc w:val="center"/>
        </w:trPr>
        <w:tc>
          <w:tcPr>
            <w:tcW w:w="1450" w:type="dxa"/>
            <w:vAlign w:val="center"/>
          </w:tcPr>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社</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会</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效</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7"/>
            <w:vAlign w:val="center"/>
          </w:tcPr>
          <w:p>
            <w:pPr>
              <w:spacing w:line="320" w:lineRule="exact"/>
              <w:ind w:firstLine="420" w:firstLineChars="200"/>
              <w:jc w:val="both"/>
              <w:rPr>
                <w:rFonts w:ascii="仿宋" w:hAnsi="仿宋" w:eastAsia="仿宋"/>
                <w:color w:val="000000"/>
                <w:szCs w:val="21"/>
              </w:rPr>
            </w:pPr>
            <w:r>
              <w:rPr>
                <w:rFonts w:hint="eastAsia" w:hAnsi="仿宋_GB2312" w:cs="仿宋_GB2312"/>
                <w:color w:val="000000"/>
                <w:sz w:val="21"/>
                <w:szCs w:val="21"/>
              </w:rPr>
              <w:t xml:space="preserve"> 该组系列报道经《衡阳日报》及掌上衡阳客户端报道后，单篇阅读最高23.3万，总阅读过百万。学习强国平台，新湖南，湖南省工信厅、工信部官方网站，衡阳市人民政府门户网等媒体纷纷转载，在企业界引起热烈反响，传统制造业从业者从中觅得转型灵感，借鉴报道里同行的智能化改造、工艺创新等经验，着手升级自身生产线，为企业注入新活力；新兴产业的创业者们深受鼓舞，报道让他们看到衡阳发展新质生产力广阔前景，愈发坚定扎根本地做强做优做大的决心，吸引更多人才投身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exact"/>
          <w:jc w:val="center"/>
        </w:trPr>
        <w:tc>
          <w:tcPr>
            <w:tcW w:w="1450" w:type="dxa"/>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spacing w:line="240" w:lineRule="auto"/>
              <w:ind w:firstLine="412" w:firstLineChars="200"/>
              <w:jc w:val="both"/>
              <w:rPr>
                <w:rFonts w:ascii="华文中宋" w:hAnsi="华文中宋" w:eastAsia="华文中宋"/>
                <w:color w:val="000000"/>
                <w:spacing w:val="-2"/>
                <w:sz w:val="28"/>
              </w:rPr>
            </w:pPr>
            <w:r>
              <w:rPr>
                <w:rFonts w:hint="eastAsia" w:ascii="仿宋_GB2312" w:hAnsi="仿宋_GB2312" w:eastAsia="仿宋_GB2312" w:cs="仿宋_GB2312"/>
                <w:color w:val="000000"/>
                <w:spacing w:val="-2"/>
                <w:sz w:val="21"/>
                <w:szCs w:val="21"/>
                <w:lang w:val="en-US" w:eastAsia="zh-CN"/>
              </w:rPr>
              <w:t>该组报道紧扣国家战略热点，敏锐性强，切入点好。选取衡阳市具备新质生产力特征的代表企业，以“新”为线，以“质”为核，以“点”带面，故事化剖析典型个案，小角度映射宏大命题，融合化呈现题材亮点，可读性、指导性兼备，为衡阳市因地制宜发展新质生产力，助推“制造立市”发展战略提供了有益参考。</w:t>
            </w:r>
            <w:r>
              <w:rPr>
                <w:rFonts w:hint="eastAsia" w:ascii="华文中宋" w:hAnsi="华文中宋" w:eastAsia="华文中宋"/>
                <w:color w:val="000000"/>
                <w:spacing w:val="-2"/>
                <w:sz w:val="28"/>
              </w:rPr>
              <w:t xml:space="preserve">                      </w:t>
            </w:r>
          </w:p>
          <w:p>
            <w:pPr>
              <w:spacing w:line="360" w:lineRule="exact"/>
              <w:ind w:left="3840" w:leftChars="1600"/>
              <w:rPr>
                <w:rFonts w:hint="eastAsia" w:ascii="华文中宋" w:hAnsi="华文中宋" w:eastAsia="华文中宋"/>
                <w:color w:val="000000"/>
                <w:spacing w:val="-2"/>
                <w:sz w:val="28"/>
              </w:rPr>
            </w:pPr>
          </w:p>
          <w:p>
            <w:pPr>
              <w:spacing w:line="360" w:lineRule="exact"/>
              <w:ind w:left="3840" w:leftChars="1600"/>
              <w:rPr>
                <w:rFonts w:ascii="华文中宋" w:hAnsi="华文中宋" w:eastAsia="华文中宋"/>
                <w:color w:val="000000"/>
                <w:sz w:val="28"/>
              </w:rPr>
            </w:pPr>
            <w:r>
              <w:rPr>
                <w:rFonts w:hint="eastAsia" w:ascii="华文中宋" w:hAnsi="华文中宋" w:eastAsia="华文中宋"/>
                <w:color w:val="000000"/>
                <w:spacing w:val="-2"/>
                <w:sz w:val="28"/>
              </w:rPr>
              <w:t>签名：</w:t>
            </w:r>
            <w:r>
              <w:rPr>
                <w:rFonts w:hint="eastAsia" w:ascii="华文中宋" w:hAnsi="华文中宋" w:eastAsia="华文中宋"/>
                <w:color w:val="000000"/>
                <w:sz w:val="28"/>
              </w:rPr>
              <w:t>（盖单位公章）</w:t>
            </w:r>
          </w:p>
          <w:p>
            <w:pPr>
              <w:ind w:left="3840" w:leftChars="1600"/>
              <w:rPr>
                <w:rFonts w:ascii="仿宋" w:hAnsi="仿宋" w:eastAsia="仿宋"/>
                <w:color w:val="000000"/>
                <w:szCs w:val="21"/>
              </w:rPr>
            </w:pPr>
            <w:r>
              <w:rPr>
                <w:rFonts w:ascii="华文中宋" w:hAnsi="华文中宋" w:eastAsia="华文中宋"/>
                <w:color w:val="000000"/>
                <w:sz w:val="28"/>
              </w:rPr>
              <w:t>20</w:t>
            </w:r>
            <w:r>
              <w:rPr>
                <w:rFonts w:hint="eastAsia" w:ascii="华文中宋" w:hAnsi="华文中宋" w:eastAsia="华文中宋"/>
                <w:color w:val="000000"/>
                <w:sz w:val="28"/>
              </w:rPr>
              <w:t>25</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联系人（作者）</w:t>
            </w:r>
          </w:p>
        </w:tc>
        <w:tc>
          <w:tcPr>
            <w:tcW w:w="2957" w:type="dxa"/>
            <w:gridSpan w:val="3"/>
            <w:tcBorders>
              <w:bottom w:val="single" w:color="auto" w:sz="4" w:space="0"/>
            </w:tcBorders>
            <w:vAlign w:val="center"/>
          </w:tcPr>
          <w:p>
            <w:pPr>
              <w:ind w:firstLine="699" w:firstLineChars="333"/>
              <w:jc w:val="both"/>
              <w:rPr>
                <w:rFonts w:hint="default" w:ascii="华文中宋" w:hAnsi="华文中宋" w:eastAsia="华文中宋"/>
                <w:color w:val="000000"/>
                <w:sz w:val="28"/>
                <w:lang w:val="en-US" w:eastAsia="zh-CN"/>
              </w:rPr>
            </w:pPr>
            <w:r>
              <w:rPr>
                <w:rFonts w:hint="eastAsia" w:ascii="仿宋" w:hAnsi="仿宋" w:eastAsia="仿宋" w:cs="仿宋"/>
                <w:color w:val="000000"/>
                <w:sz w:val="21"/>
                <w:szCs w:val="21"/>
                <w:lang w:val="en-US" w:eastAsia="zh-CN"/>
              </w:rPr>
              <w:t>邓小山</w:t>
            </w:r>
          </w:p>
        </w:tc>
        <w:tc>
          <w:tcPr>
            <w:tcW w:w="1137" w:type="dxa"/>
            <w:gridSpan w:val="2"/>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手机</w:t>
            </w:r>
          </w:p>
        </w:tc>
        <w:tc>
          <w:tcPr>
            <w:tcW w:w="4080" w:type="dxa"/>
            <w:gridSpan w:val="2"/>
            <w:tcBorders>
              <w:bottom w:val="single" w:color="auto" w:sz="4" w:space="0"/>
            </w:tcBorders>
            <w:vAlign w:val="center"/>
          </w:tcPr>
          <w:p>
            <w:pPr>
              <w:spacing w:line="340" w:lineRule="exact"/>
              <w:ind w:firstLine="560"/>
              <w:jc w:val="both"/>
              <w:rPr>
                <w:rFonts w:hint="default" w:ascii="华文中宋" w:hAnsi="华文中宋" w:eastAsia="华文中宋"/>
                <w:color w:val="000000"/>
                <w:sz w:val="28"/>
                <w:lang w:val="en-US" w:eastAsia="zh-CN"/>
              </w:rPr>
            </w:pPr>
            <w:r>
              <w:rPr>
                <w:rFonts w:hint="eastAsia" w:ascii="仿宋" w:hAnsi="仿宋" w:eastAsia="仿宋" w:cs="仿宋"/>
                <w:color w:val="000000"/>
                <w:sz w:val="21"/>
                <w:szCs w:val="21"/>
                <w:lang w:val="en-US" w:eastAsia="zh-CN"/>
              </w:rPr>
              <w:t>13974729607</w:t>
            </w:r>
          </w:p>
        </w:tc>
      </w:tr>
    </w:tbl>
    <w:p>
      <w:pPr>
        <w:spacing w:line="20" w:lineRule="atLeast"/>
        <w:jc w:val="both"/>
        <w:rPr>
          <w:rFonts w:ascii="华文仿宋" w:hAnsi="华文仿宋" w:eastAsia="华文仿宋"/>
          <w:color w:val="000000"/>
          <w:szCs w:val="32"/>
        </w:rPr>
        <w:sectPr>
          <w:headerReference r:id="rId5" w:type="default"/>
          <w:pgSz w:w="11906" w:h="16838"/>
          <w:pgMar w:top="1440" w:right="1247" w:bottom="1440" w:left="1247" w:header="851" w:footer="1418" w:gutter="0"/>
          <w:pgNumType w:fmt="numberInDash"/>
          <w:cols w:space="425" w:num="1"/>
          <w:docGrid w:type="lines" w:linePitch="312" w:charSpace="0"/>
        </w:sectPr>
      </w:pPr>
    </w:p>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湖南新闻奖系列报道作品完整目录</w:t>
      </w:r>
    </w:p>
    <w:p>
      <w:pPr>
        <w:spacing w:line="320" w:lineRule="exact"/>
        <w:rPr>
          <w:rFonts w:ascii="方正小标宋简体" w:hAnsi="方正小标宋简体" w:eastAsia="方正小标宋简体" w:cs="方正小标宋简体"/>
          <w:color w:val="000000"/>
          <w:sz w:val="44"/>
          <w:szCs w:val="44"/>
        </w:rPr>
      </w:pPr>
      <w:r>
        <w:rPr>
          <w:rFonts w:hint="eastAsia" w:hAnsi="仿宋"/>
          <w:b/>
          <w:color w:val="000000"/>
        </w:rPr>
        <w:t>（表格内字体为五号仿宋_GB2312）</w:t>
      </w:r>
    </w:p>
    <w:tbl>
      <w:tblPr>
        <w:tblStyle w:val="4"/>
        <w:tblW w:w="9713"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942"/>
        <w:gridCol w:w="2602"/>
        <w:gridCol w:w="849"/>
        <w:gridCol w:w="992"/>
        <w:gridCol w:w="1559"/>
        <w:gridCol w:w="996"/>
        <w:gridCol w:w="94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73" w:type="dxa"/>
            <w:gridSpan w:val="2"/>
            <w:tcBorders>
              <w:bottom w:val="single" w:color="auto" w:sz="4" w:space="0"/>
            </w:tcBorders>
            <w:vAlign w:val="center"/>
          </w:tcPr>
          <w:p>
            <w:pPr>
              <w:snapToGrid w:val="0"/>
              <w:rPr>
                <w:rFonts w:ascii="华文中宋" w:hAnsi="华文中宋" w:eastAsia="华文中宋"/>
                <w:color w:val="000000"/>
                <w:sz w:val="28"/>
                <w:szCs w:val="28"/>
              </w:rPr>
            </w:pPr>
            <w:r>
              <w:rPr>
                <w:rFonts w:hint="eastAsia" w:ascii="华文中宋" w:hAnsi="华文中宋" w:eastAsia="华文中宋"/>
                <w:color w:val="000000"/>
                <w:sz w:val="28"/>
                <w:szCs w:val="28"/>
              </w:rPr>
              <w:t>作品标题</w:t>
            </w:r>
          </w:p>
        </w:tc>
        <w:tc>
          <w:tcPr>
            <w:tcW w:w="7940" w:type="dxa"/>
            <w:gridSpan w:val="6"/>
            <w:tcBorders>
              <w:bottom w:val="single" w:color="auto" w:sz="4" w:space="0"/>
            </w:tcBorders>
            <w:vAlign w:val="center"/>
          </w:tcPr>
          <w:p>
            <w:pPr>
              <w:snapToGrid w:val="0"/>
              <w:jc w:val="both"/>
              <w:rPr>
                <w:rFonts w:hAnsi="仿宋_GB2312" w:cs="仿宋_GB2312"/>
                <w:color w:val="000000"/>
                <w:sz w:val="21"/>
                <w:szCs w:val="21"/>
              </w:rPr>
            </w:pPr>
            <w:r>
              <w:rPr>
                <w:rFonts w:hint="eastAsia"/>
                <w:b w:val="0"/>
                <w:bCs w:val="0"/>
                <w:sz w:val="21"/>
                <w:szCs w:val="21"/>
                <w:lang w:eastAsia="zh-CN"/>
              </w:rPr>
              <w:t>“新”的力量——</w:t>
            </w:r>
            <w:r>
              <w:rPr>
                <w:rFonts w:hint="eastAsia"/>
                <w:b w:val="0"/>
                <w:bCs w:val="0"/>
                <w:sz w:val="21"/>
                <w:szCs w:val="21"/>
                <w:lang w:val="en-US" w:eastAsia="zh-CN"/>
              </w:rPr>
              <w:t>新质生产力在衡阳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单篇作品标题</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体裁</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字数/时长</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刊播日期</w:t>
            </w: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刊播版面</w:t>
            </w:r>
          </w:p>
        </w:tc>
        <w:tc>
          <w:tcPr>
            <w:tcW w:w="94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tcBorders>
              <w:top w:val="single" w:color="auto" w:sz="4" w:space="0"/>
              <w:bottom w:val="single" w:color="auto" w:sz="4" w:space="0"/>
            </w:tcBorders>
            <w:vAlign w:val="center"/>
          </w:tcPr>
          <w:p>
            <w:pPr>
              <w:snapToGrid w:val="0"/>
              <w:rPr>
                <w:rFonts w:hAnsi="仿宋_GB2312" w:cs="仿宋_GB2312"/>
                <w:color w:val="000000"/>
                <w:sz w:val="28"/>
                <w:szCs w:val="28"/>
              </w:rPr>
            </w:pPr>
            <w:r>
              <w:rPr>
                <w:rFonts w:hint="eastAsia" w:hAnsi="仿宋_GB2312" w:cs="仿宋_GB2312"/>
                <w:color w:val="000000"/>
                <w:sz w:val="28"/>
                <w:szCs w:val="28"/>
              </w:rPr>
              <w:t>1</w:t>
            </w:r>
          </w:p>
        </w:tc>
        <w:tc>
          <w:tcPr>
            <w:tcW w:w="3544" w:type="dxa"/>
            <w:gridSpan w:val="2"/>
            <w:tcBorders>
              <w:top w:val="single" w:color="auto" w:sz="4" w:space="0"/>
              <w:bottom w:val="single" w:color="auto" w:sz="4" w:space="0"/>
            </w:tcBorders>
            <w:vAlign w:val="center"/>
          </w:tcPr>
          <w:p>
            <w:pPr>
              <w:snapToGrid w:val="0"/>
              <w:jc w:val="both"/>
              <w:rPr>
                <w:rFonts w:hAnsi="仿宋_GB2312" w:cs="仿宋_GB2312"/>
                <w:color w:val="000000"/>
                <w:sz w:val="21"/>
                <w:szCs w:val="21"/>
              </w:rPr>
            </w:pPr>
            <w:r>
              <w:rPr>
                <w:rFonts w:hint="eastAsia" w:ascii="宋体" w:hAnsi="宋体"/>
                <w:color w:val="000000"/>
                <w:sz w:val="18"/>
                <w:szCs w:val="18"/>
                <w:shd w:val="clear" w:color="auto" w:fill="F7FAFF"/>
              </w:rPr>
              <w:t>凭借智慧 这家企业成为湖南制造业单项冠军</w:t>
            </w:r>
          </w:p>
        </w:tc>
        <w:tc>
          <w:tcPr>
            <w:tcW w:w="849" w:type="dxa"/>
            <w:tcBorders>
              <w:top w:val="single" w:color="auto" w:sz="4" w:space="0"/>
              <w:bottom w:val="single" w:color="auto" w:sz="4" w:space="0"/>
            </w:tcBorders>
            <w:vAlign w:val="center"/>
          </w:tcPr>
          <w:p>
            <w:pPr>
              <w:snapToGrid w:val="0"/>
              <w:rPr>
                <w:rFonts w:hint="eastAsia"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通讯</w:t>
            </w:r>
          </w:p>
        </w:tc>
        <w:tc>
          <w:tcPr>
            <w:tcW w:w="992" w:type="dxa"/>
            <w:tcBorders>
              <w:top w:val="single" w:color="auto" w:sz="4" w:space="0"/>
              <w:bottom w:val="single" w:color="auto" w:sz="4" w:space="0"/>
            </w:tcBorders>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2554</w:t>
            </w:r>
          </w:p>
        </w:tc>
        <w:tc>
          <w:tcPr>
            <w:tcW w:w="1559" w:type="dxa"/>
            <w:tcBorders>
              <w:top w:val="single" w:color="auto" w:sz="4" w:space="0"/>
              <w:bottom w:val="single" w:color="auto" w:sz="4" w:space="0"/>
            </w:tcBorders>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3月8日</w:t>
            </w:r>
          </w:p>
        </w:tc>
        <w:tc>
          <w:tcPr>
            <w:tcW w:w="996" w:type="dxa"/>
            <w:tcBorders>
              <w:top w:val="single" w:color="auto" w:sz="4" w:space="0"/>
              <w:bottom w:val="single" w:color="auto" w:sz="4" w:space="0"/>
            </w:tcBorders>
            <w:vAlign w:val="center"/>
          </w:tcPr>
          <w:p>
            <w:pPr>
              <w:snapToGrid w:val="0"/>
              <w:rPr>
                <w:rFonts w:hAnsi="仿宋_GB2312" w:cs="仿宋_GB2312"/>
                <w:color w:val="000000"/>
                <w:sz w:val="21"/>
                <w:szCs w:val="21"/>
              </w:rPr>
            </w:pPr>
          </w:p>
        </w:tc>
        <w:tc>
          <w:tcPr>
            <w:tcW w:w="942" w:type="dxa"/>
            <w:tcBorders>
              <w:top w:val="single" w:color="auto" w:sz="4" w:space="0"/>
              <w:bottom w:val="single" w:color="auto" w:sz="4" w:space="0"/>
            </w:tcBorders>
            <w:vAlign w:val="center"/>
          </w:tcPr>
          <w:p>
            <w:pPr>
              <w:snapToGrid w:val="0"/>
              <w:rPr>
                <w:rFonts w:hAnsi="仿宋_GB2312" w:cs="仿宋_GB2312"/>
                <w:color w:val="000000"/>
                <w:sz w:val="21"/>
                <w:szCs w:val="21"/>
              </w:rPr>
            </w:pPr>
            <w:r>
              <w:rPr>
                <w:rFonts w:hint="eastAsia" w:ascii="宋体" w:hAnsi="宋体"/>
                <w:color w:val="000000"/>
                <w:sz w:val="18"/>
                <w:szCs w:val="18"/>
                <w:shd w:val="clear" w:color="auto" w:fill="F7FAFF"/>
                <w:lang w:val="en-US" w:eastAsia="zh-CN"/>
              </w:rPr>
              <w:t>代表作一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tcBorders>
              <w:bottom w:val="single" w:color="auto" w:sz="4" w:space="0"/>
            </w:tcBorders>
            <w:vAlign w:val="center"/>
          </w:tcPr>
          <w:p>
            <w:pPr>
              <w:snapToGrid w:val="0"/>
              <w:rPr>
                <w:rFonts w:hAnsi="仿宋_GB2312" w:cs="仿宋_GB2312"/>
                <w:color w:val="000000"/>
                <w:sz w:val="28"/>
                <w:szCs w:val="28"/>
              </w:rPr>
            </w:pPr>
            <w:r>
              <w:rPr>
                <w:rFonts w:hint="eastAsia" w:hAnsi="仿宋_GB2312" w:cs="仿宋_GB2312"/>
                <w:color w:val="000000"/>
                <w:sz w:val="28"/>
                <w:szCs w:val="28"/>
              </w:rPr>
              <w:t>2</w:t>
            </w:r>
          </w:p>
        </w:tc>
        <w:tc>
          <w:tcPr>
            <w:tcW w:w="3544" w:type="dxa"/>
            <w:gridSpan w:val="2"/>
            <w:tcBorders>
              <w:bottom w:val="single" w:color="auto" w:sz="4" w:space="0"/>
            </w:tcBorders>
            <w:vAlign w:val="center"/>
          </w:tcPr>
          <w:p>
            <w:pPr>
              <w:snapToGrid w:val="0"/>
              <w:jc w:val="both"/>
              <w:rPr>
                <w:rFonts w:hAnsi="仿宋_GB2312" w:cs="仿宋_GB2312"/>
                <w:color w:val="000000"/>
                <w:sz w:val="21"/>
                <w:szCs w:val="21"/>
              </w:rPr>
            </w:pPr>
            <w:r>
              <w:rPr>
                <w:rFonts w:hint="eastAsia" w:ascii="宋体" w:hAnsi="宋体"/>
                <w:color w:val="000000"/>
                <w:sz w:val="18"/>
                <w:szCs w:val="18"/>
                <w:shd w:val="clear" w:color="auto" w:fill="F7FAFF"/>
              </w:rPr>
              <w:t>从零开始 “隐形冠军”登上氮化硅技术之巅</w:t>
            </w:r>
          </w:p>
        </w:tc>
        <w:tc>
          <w:tcPr>
            <w:tcW w:w="849" w:type="dxa"/>
            <w:tcBorders>
              <w:bottom w:val="single" w:color="auto" w:sz="4" w:space="0"/>
            </w:tcBorders>
            <w:vAlign w:val="center"/>
          </w:tcPr>
          <w:p>
            <w:pPr>
              <w:snapToGrid w:val="0"/>
              <w:rPr>
                <w:rFonts w:hAnsi="仿宋_GB2312" w:cs="仿宋_GB2312"/>
                <w:color w:val="000000"/>
                <w:sz w:val="21"/>
                <w:szCs w:val="21"/>
              </w:rPr>
            </w:pPr>
            <w:r>
              <w:rPr>
                <w:rFonts w:hint="eastAsia" w:hAnsi="仿宋_GB2312" w:cs="仿宋_GB2312"/>
                <w:color w:val="000000"/>
                <w:sz w:val="21"/>
                <w:szCs w:val="21"/>
                <w:lang w:val="en-US" w:eastAsia="zh-CN"/>
              </w:rPr>
              <w:t>通讯</w:t>
            </w:r>
          </w:p>
        </w:tc>
        <w:tc>
          <w:tcPr>
            <w:tcW w:w="992" w:type="dxa"/>
            <w:tcBorders>
              <w:bottom w:val="single" w:color="auto" w:sz="4" w:space="0"/>
            </w:tcBorders>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1750</w:t>
            </w:r>
          </w:p>
        </w:tc>
        <w:tc>
          <w:tcPr>
            <w:tcW w:w="1559" w:type="dxa"/>
            <w:tcBorders>
              <w:bottom w:val="single" w:color="auto" w:sz="4" w:space="0"/>
            </w:tcBorders>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3月12日</w:t>
            </w:r>
          </w:p>
        </w:tc>
        <w:tc>
          <w:tcPr>
            <w:tcW w:w="996" w:type="dxa"/>
            <w:tcBorders>
              <w:bottom w:val="single" w:color="auto" w:sz="4" w:space="0"/>
            </w:tcBorders>
            <w:vAlign w:val="center"/>
          </w:tcPr>
          <w:p>
            <w:pPr>
              <w:snapToGrid w:val="0"/>
              <w:rPr>
                <w:rFonts w:hAnsi="仿宋_GB2312" w:cs="仿宋_GB2312"/>
                <w:color w:val="000000"/>
                <w:sz w:val="21"/>
                <w:szCs w:val="21"/>
              </w:rPr>
            </w:pPr>
          </w:p>
        </w:tc>
        <w:tc>
          <w:tcPr>
            <w:tcW w:w="942" w:type="dxa"/>
            <w:tcBorders>
              <w:bottom w:val="single" w:color="auto" w:sz="4" w:space="0"/>
            </w:tcBorders>
            <w:vAlign w:val="center"/>
          </w:tcPr>
          <w:p>
            <w:pPr>
              <w:snapToGrid w:val="0"/>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pPr>
              <w:snapToGrid w:val="0"/>
              <w:rPr>
                <w:rFonts w:hAnsi="仿宋_GB2312" w:cs="仿宋_GB2312"/>
                <w:color w:val="000000"/>
                <w:sz w:val="28"/>
                <w:szCs w:val="28"/>
              </w:rPr>
            </w:pPr>
            <w:r>
              <w:rPr>
                <w:rFonts w:hint="eastAsia" w:hAnsi="仿宋_GB2312" w:cs="仿宋_GB2312"/>
                <w:color w:val="000000"/>
                <w:sz w:val="28"/>
                <w:szCs w:val="28"/>
              </w:rPr>
              <w:t>3</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Ansi="仿宋_GB2312" w:cs="仿宋_GB2312"/>
                <w:color w:val="000000"/>
                <w:sz w:val="21"/>
                <w:szCs w:val="21"/>
              </w:rPr>
            </w:pPr>
            <w:r>
              <w:rPr>
                <w:rFonts w:hint="eastAsia" w:ascii="宋体" w:hAnsi="宋体"/>
                <w:sz w:val="18"/>
                <w:szCs w:val="18"/>
              </w:rPr>
              <w:t>多年稳坐全国“头把交椅” 这家企业的秘诀是全链条创新</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rPr>
                <w:rFonts w:hAnsi="仿宋_GB2312" w:cs="仿宋_GB2312"/>
                <w:color w:val="000000"/>
                <w:sz w:val="21"/>
                <w:szCs w:val="21"/>
              </w:rPr>
            </w:pPr>
            <w:r>
              <w:rPr>
                <w:rFonts w:hint="eastAsia" w:hAnsi="仿宋_GB2312" w:cs="仿宋_GB2312"/>
                <w:color w:val="000000"/>
                <w:sz w:val="21"/>
                <w:szCs w:val="21"/>
                <w:lang w:val="en-US" w:eastAsia="zh-CN"/>
              </w:rPr>
              <w:t>通讯</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2211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3月14日</w:t>
            </w:r>
          </w:p>
        </w:tc>
        <w:tc>
          <w:tcPr>
            <w:tcW w:w="996" w:type="dxa"/>
            <w:tcBorders>
              <w:top w:val="single" w:color="auto" w:sz="4" w:space="0"/>
              <w:left w:val="single" w:color="auto" w:sz="4" w:space="0"/>
              <w:bottom w:val="single" w:color="auto" w:sz="4" w:space="0"/>
              <w:right w:val="single" w:color="auto" w:sz="4" w:space="0"/>
            </w:tcBorders>
            <w:vAlign w:val="center"/>
          </w:tcPr>
          <w:p>
            <w:pPr>
              <w:snapToGrid w:val="0"/>
              <w:rPr>
                <w:rFonts w:hAnsi="仿宋_GB2312" w:cs="仿宋_GB2312"/>
                <w:color w:val="000000"/>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napToGrid w:val="0"/>
              <w:rPr>
                <w:rFonts w:hint="default" w:hAnsi="仿宋_GB2312" w:cs="仿宋_GB2312"/>
                <w:color w:val="000000"/>
                <w:sz w:val="21"/>
                <w:szCs w:val="21"/>
                <w:lang w:val="en-US"/>
              </w:rPr>
            </w:pPr>
            <w:r>
              <w:rPr>
                <w:rFonts w:hint="eastAsia" w:ascii="宋体" w:hAnsi="宋体"/>
                <w:color w:val="000000"/>
                <w:sz w:val="18"/>
                <w:szCs w:val="18"/>
                <w:shd w:val="clear" w:color="auto" w:fill="F7FAFF"/>
                <w:lang w:val="en-US" w:eastAsia="zh-CN"/>
              </w:rPr>
              <w:t>代表作二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tcBorders>
              <w:top w:val="single" w:color="auto" w:sz="4" w:space="0"/>
            </w:tcBorders>
            <w:vAlign w:val="center"/>
          </w:tcPr>
          <w:p>
            <w:pPr>
              <w:snapToGrid w:val="0"/>
              <w:rPr>
                <w:rFonts w:hAnsi="仿宋_GB2312" w:cs="仿宋_GB2312"/>
                <w:color w:val="000000"/>
                <w:sz w:val="28"/>
                <w:szCs w:val="28"/>
              </w:rPr>
            </w:pPr>
            <w:r>
              <w:rPr>
                <w:rFonts w:hint="eastAsia" w:hAnsi="仿宋_GB2312" w:cs="仿宋_GB2312"/>
                <w:color w:val="000000"/>
                <w:sz w:val="28"/>
                <w:szCs w:val="28"/>
              </w:rPr>
              <w:t>4</w:t>
            </w:r>
          </w:p>
        </w:tc>
        <w:tc>
          <w:tcPr>
            <w:tcW w:w="3544" w:type="dxa"/>
            <w:gridSpan w:val="2"/>
            <w:tcBorders>
              <w:top w:val="single" w:color="auto" w:sz="4" w:space="0"/>
            </w:tcBorders>
            <w:vAlign w:val="center"/>
          </w:tcPr>
          <w:p>
            <w:pPr>
              <w:snapToGrid w:val="0"/>
              <w:jc w:val="both"/>
              <w:rPr>
                <w:rFonts w:hAnsi="仿宋_GB2312" w:cs="仿宋_GB2312"/>
                <w:color w:val="000000"/>
                <w:sz w:val="21"/>
                <w:szCs w:val="21"/>
              </w:rPr>
            </w:pPr>
            <w:r>
              <w:rPr>
                <w:rFonts w:hint="eastAsia" w:ascii="宋体" w:hAnsi="宋体"/>
                <w:sz w:val="18"/>
                <w:szCs w:val="18"/>
              </w:rPr>
              <w:t>全流程工艺创新，这家企业成为中国锌冶炼标杆</w:t>
            </w:r>
          </w:p>
        </w:tc>
        <w:tc>
          <w:tcPr>
            <w:tcW w:w="849" w:type="dxa"/>
            <w:tcBorders>
              <w:top w:val="single" w:color="auto" w:sz="4" w:space="0"/>
            </w:tcBorders>
            <w:vAlign w:val="center"/>
          </w:tcPr>
          <w:p>
            <w:pPr>
              <w:snapToGrid w:val="0"/>
              <w:rPr>
                <w:rFonts w:hAnsi="仿宋_GB2312" w:cs="仿宋_GB2312"/>
                <w:color w:val="000000"/>
                <w:sz w:val="21"/>
                <w:szCs w:val="21"/>
              </w:rPr>
            </w:pPr>
            <w:r>
              <w:rPr>
                <w:rFonts w:hint="eastAsia" w:hAnsi="仿宋_GB2312" w:cs="仿宋_GB2312"/>
                <w:color w:val="000000"/>
                <w:sz w:val="21"/>
                <w:szCs w:val="21"/>
                <w:lang w:val="en-US" w:eastAsia="zh-CN"/>
              </w:rPr>
              <w:t>通讯</w:t>
            </w:r>
          </w:p>
        </w:tc>
        <w:tc>
          <w:tcPr>
            <w:tcW w:w="992" w:type="dxa"/>
            <w:tcBorders>
              <w:top w:val="single" w:color="auto" w:sz="4" w:space="0"/>
            </w:tcBorders>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1778</w:t>
            </w:r>
          </w:p>
        </w:tc>
        <w:tc>
          <w:tcPr>
            <w:tcW w:w="1559" w:type="dxa"/>
            <w:tcBorders>
              <w:top w:val="single" w:color="auto" w:sz="4" w:space="0"/>
            </w:tcBorders>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3月18日</w:t>
            </w:r>
          </w:p>
        </w:tc>
        <w:tc>
          <w:tcPr>
            <w:tcW w:w="996" w:type="dxa"/>
            <w:tcBorders>
              <w:top w:val="single" w:color="auto" w:sz="4" w:space="0"/>
            </w:tcBorders>
            <w:vAlign w:val="center"/>
          </w:tcPr>
          <w:p>
            <w:pPr>
              <w:snapToGrid w:val="0"/>
              <w:rPr>
                <w:rFonts w:hAnsi="仿宋_GB2312" w:cs="仿宋_GB2312"/>
                <w:color w:val="000000"/>
                <w:sz w:val="21"/>
                <w:szCs w:val="21"/>
              </w:rPr>
            </w:pPr>
          </w:p>
        </w:tc>
        <w:tc>
          <w:tcPr>
            <w:tcW w:w="942" w:type="dxa"/>
            <w:tcBorders>
              <w:top w:val="single" w:color="auto" w:sz="4" w:space="0"/>
            </w:tcBorders>
            <w:vAlign w:val="center"/>
          </w:tcPr>
          <w:p>
            <w:pPr>
              <w:snapToGrid w:val="0"/>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vAlign w:val="center"/>
          </w:tcPr>
          <w:p>
            <w:pPr>
              <w:snapToGrid w:val="0"/>
              <w:rPr>
                <w:rFonts w:hAnsi="仿宋_GB2312" w:cs="仿宋_GB2312"/>
                <w:color w:val="000000"/>
                <w:sz w:val="28"/>
                <w:szCs w:val="28"/>
              </w:rPr>
            </w:pPr>
            <w:r>
              <w:rPr>
                <w:rFonts w:hint="eastAsia" w:hAnsi="仿宋_GB2312" w:cs="仿宋_GB2312"/>
                <w:color w:val="000000"/>
                <w:sz w:val="28"/>
                <w:szCs w:val="28"/>
              </w:rPr>
              <w:t>5</w:t>
            </w:r>
          </w:p>
        </w:tc>
        <w:tc>
          <w:tcPr>
            <w:tcW w:w="3544" w:type="dxa"/>
            <w:gridSpan w:val="2"/>
            <w:vAlign w:val="center"/>
          </w:tcPr>
          <w:p>
            <w:pPr>
              <w:snapToGrid w:val="0"/>
              <w:jc w:val="both"/>
              <w:rPr>
                <w:rFonts w:hAnsi="仿宋_GB2312" w:cs="仿宋_GB2312"/>
                <w:color w:val="000000"/>
                <w:sz w:val="21"/>
                <w:szCs w:val="21"/>
              </w:rPr>
            </w:pPr>
            <w:r>
              <w:rPr>
                <w:rFonts w:hint="eastAsia" w:ascii="宋体" w:hAnsi="宋体"/>
                <w:color w:val="000000"/>
                <w:sz w:val="18"/>
                <w:szCs w:val="18"/>
                <w:shd w:val="clear" w:color="auto" w:fill="F7FAFF"/>
              </w:rPr>
              <w:t>另辟蹊径，小电池布局全球千余个项目</w:t>
            </w:r>
          </w:p>
        </w:tc>
        <w:tc>
          <w:tcPr>
            <w:tcW w:w="849" w:type="dxa"/>
            <w:vAlign w:val="center"/>
          </w:tcPr>
          <w:p>
            <w:pPr>
              <w:snapToGrid w:val="0"/>
              <w:rPr>
                <w:rFonts w:hAnsi="仿宋_GB2312" w:cs="仿宋_GB2312"/>
                <w:color w:val="000000"/>
                <w:sz w:val="21"/>
                <w:szCs w:val="21"/>
              </w:rPr>
            </w:pPr>
            <w:r>
              <w:rPr>
                <w:rFonts w:hint="eastAsia" w:hAnsi="仿宋_GB2312" w:cs="仿宋_GB2312"/>
                <w:color w:val="000000"/>
                <w:sz w:val="21"/>
                <w:szCs w:val="21"/>
                <w:lang w:val="en-US" w:eastAsia="zh-CN"/>
              </w:rPr>
              <w:t>通讯</w:t>
            </w:r>
          </w:p>
        </w:tc>
        <w:tc>
          <w:tcPr>
            <w:tcW w:w="992" w:type="dxa"/>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2035</w:t>
            </w:r>
          </w:p>
        </w:tc>
        <w:tc>
          <w:tcPr>
            <w:tcW w:w="1559" w:type="dxa"/>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3月27日</w:t>
            </w:r>
          </w:p>
        </w:tc>
        <w:tc>
          <w:tcPr>
            <w:tcW w:w="996" w:type="dxa"/>
            <w:vAlign w:val="center"/>
          </w:tcPr>
          <w:p>
            <w:pPr>
              <w:snapToGrid w:val="0"/>
              <w:rPr>
                <w:rFonts w:hAnsi="仿宋_GB2312" w:cs="仿宋_GB2312"/>
                <w:color w:val="000000"/>
                <w:sz w:val="21"/>
                <w:szCs w:val="21"/>
              </w:rPr>
            </w:pPr>
          </w:p>
        </w:tc>
        <w:tc>
          <w:tcPr>
            <w:tcW w:w="942" w:type="dxa"/>
            <w:vAlign w:val="center"/>
          </w:tcPr>
          <w:p>
            <w:pPr>
              <w:snapToGrid w:val="0"/>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vAlign w:val="center"/>
          </w:tcPr>
          <w:p>
            <w:pPr>
              <w:snapToGrid w:val="0"/>
              <w:rPr>
                <w:rFonts w:hAnsi="仿宋_GB2312" w:cs="仿宋_GB2312"/>
                <w:color w:val="000000"/>
                <w:sz w:val="28"/>
                <w:szCs w:val="28"/>
              </w:rPr>
            </w:pPr>
            <w:r>
              <w:rPr>
                <w:rFonts w:hint="eastAsia" w:hAnsi="仿宋_GB2312" w:cs="仿宋_GB2312"/>
                <w:color w:val="000000"/>
                <w:sz w:val="28"/>
                <w:szCs w:val="28"/>
              </w:rPr>
              <w:t>6</w:t>
            </w:r>
          </w:p>
        </w:tc>
        <w:tc>
          <w:tcPr>
            <w:tcW w:w="3544" w:type="dxa"/>
            <w:gridSpan w:val="2"/>
            <w:vAlign w:val="center"/>
          </w:tcPr>
          <w:p>
            <w:pPr>
              <w:snapToGrid w:val="0"/>
              <w:jc w:val="both"/>
              <w:rPr>
                <w:rFonts w:hAnsi="仿宋_GB2312" w:cs="仿宋_GB2312"/>
                <w:color w:val="000000"/>
                <w:sz w:val="21"/>
                <w:szCs w:val="21"/>
              </w:rPr>
            </w:pPr>
            <w:r>
              <w:rPr>
                <w:rFonts w:hint="eastAsia" w:ascii="宋体" w:hAnsi="宋体"/>
                <w:color w:val="000000"/>
                <w:sz w:val="18"/>
                <w:szCs w:val="18"/>
                <w:shd w:val="clear" w:color="auto" w:fill="F7FAFF"/>
              </w:rPr>
              <w:t>“UP”模式 架起高校和园区双向奔赴的桥梁</w:t>
            </w:r>
          </w:p>
        </w:tc>
        <w:tc>
          <w:tcPr>
            <w:tcW w:w="849" w:type="dxa"/>
            <w:vAlign w:val="center"/>
          </w:tcPr>
          <w:p>
            <w:pPr>
              <w:snapToGrid w:val="0"/>
              <w:rPr>
                <w:rFonts w:hAnsi="仿宋_GB2312" w:cs="仿宋_GB2312"/>
                <w:color w:val="000000"/>
                <w:sz w:val="21"/>
                <w:szCs w:val="21"/>
              </w:rPr>
            </w:pPr>
            <w:r>
              <w:rPr>
                <w:rFonts w:hint="eastAsia" w:hAnsi="仿宋_GB2312" w:cs="仿宋_GB2312"/>
                <w:color w:val="000000"/>
                <w:sz w:val="21"/>
                <w:szCs w:val="21"/>
                <w:lang w:val="en-US" w:eastAsia="zh-CN"/>
              </w:rPr>
              <w:t>通讯</w:t>
            </w:r>
          </w:p>
        </w:tc>
        <w:tc>
          <w:tcPr>
            <w:tcW w:w="992" w:type="dxa"/>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2566</w:t>
            </w:r>
          </w:p>
        </w:tc>
        <w:tc>
          <w:tcPr>
            <w:tcW w:w="1559" w:type="dxa"/>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4月3日</w:t>
            </w:r>
          </w:p>
        </w:tc>
        <w:tc>
          <w:tcPr>
            <w:tcW w:w="996" w:type="dxa"/>
            <w:vAlign w:val="center"/>
          </w:tcPr>
          <w:p>
            <w:pPr>
              <w:snapToGrid w:val="0"/>
              <w:rPr>
                <w:rFonts w:hAnsi="仿宋_GB2312" w:cs="仿宋_GB2312"/>
                <w:color w:val="000000"/>
                <w:sz w:val="21"/>
                <w:szCs w:val="21"/>
              </w:rPr>
            </w:pPr>
          </w:p>
        </w:tc>
        <w:tc>
          <w:tcPr>
            <w:tcW w:w="942" w:type="dxa"/>
            <w:vAlign w:val="center"/>
          </w:tcPr>
          <w:p>
            <w:pPr>
              <w:snapToGrid w:val="0"/>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vAlign w:val="center"/>
          </w:tcPr>
          <w:p>
            <w:pPr>
              <w:snapToGrid w:val="0"/>
              <w:rPr>
                <w:rFonts w:hAnsi="仿宋_GB2312" w:cs="仿宋_GB2312"/>
                <w:color w:val="000000"/>
                <w:sz w:val="28"/>
                <w:szCs w:val="28"/>
              </w:rPr>
            </w:pPr>
            <w:r>
              <w:rPr>
                <w:rFonts w:hint="eastAsia" w:hAnsi="仿宋_GB2312" w:cs="仿宋_GB2312"/>
                <w:color w:val="000000"/>
                <w:sz w:val="28"/>
                <w:szCs w:val="28"/>
              </w:rPr>
              <w:t>7</w:t>
            </w:r>
          </w:p>
        </w:tc>
        <w:tc>
          <w:tcPr>
            <w:tcW w:w="3544" w:type="dxa"/>
            <w:gridSpan w:val="2"/>
            <w:vAlign w:val="center"/>
          </w:tcPr>
          <w:p>
            <w:pPr>
              <w:snapToGrid w:val="0"/>
              <w:jc w:val="both"/>
              <w:rPr>
                <w:rFonts w:hAnsi="仿宋_GB2312" w:cs="仿宋_GB2312"/>
                <w:color w:val="000000"/>
                <w:sz w:val="21"/>
                <w:szCs w:val="21"/>
              </w:rPr>
            </w:pPr>
            <w:r>
              <w:rPr>
                <w:rFonts w:hint="eastAsia" w:ascii="宋体" w:hAnsi="宋体" w:cs="宋体"/>
                <w:color w:val="000000"/>
                <w:kern w:val="0"/>
                <w:sz w:val="18"/>
                <w:szCs w:val="18"/>
                <w:shd w:val="clear" w:color="auto" w:fill="F7FAFF"/>
              </w:rPr>
              <w:t>衡阳如何因地制宜发展新质生产力——听听园区管理者、政府参事、专家及企业界的建议</w:t>
            </w:r>
          </w:p>
        </w:tc>
        <w:tc>
          <w:tcPr>
            <w:tcW w:w="849" w:type="dxa"/>
            <w:vAlign w:val="center"/>
          </w:tcPr>
          <w:p>
            <w:pPr>
              <w:snapToGrid w:val="0"/>
              <w:rPr>
                <w:rFonts w:hAnsi="仿宋_GB2312" w:cs="仿宋_GB2312"/>
                <w:color w:val="000000"/>
                <w:sz w:val="21"/>
                <w:szCs w:val="21"/>
              </w:rPr>
            </w:pPr>
            <w:r>
              <w:rPr>
                <w:rFonts w:hint="eastAsia" w:hAnsi="仿宋_GB2312" w:cs="仿宋_GB2312"/>
                <w:color w:val="000000"/>
                <w:sz w:val="21"/>
                <w:szCs w:val="21"/>
                <w:lang w:val="en-US" w:eastAsia="zh-CN"/>
              </w:rPr>
              <w:t>通讯</w:t>
            </w:r>
          </w:p>
        </w:tc>
        <w:tc>
          <w:tcPr>
            <w:tcW w:w="992" w:type="dxa"/>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3620</w:t>
            </w:r>
          </w:p>
        </w:tc>
        <w:tc>
          <w:tcPr>
            <w:tcW w:w="1559" w:type="dxa"/>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4月8日</w:t>
            </w:r>
          </w:p>
        </w:tc>
        <w:tc>
          <w:tcPr>
            <w:tcW w:w="996" w:type="dxa"/>
            <w:vAlign w:val="center"/>
          </w:tcPr>
          <w:p>
            <w:pPr>
              <w:snapToGrid w:val="0"/>
              <w:rPr>
                <w:rFonts w:hAnsi="仿宋_GB2312" w:cs="仿宋_GB2312"/>
                <w:color w:val="000000"/>
                <w:sz w:val="21"/>
                <w:szCs w:val="21"/>
              </w:rPr>
            </w:pPr>
          </w:p>
        </w:tc>
        <w:tc>
          <w:tcPr>
            <w:tcW w:w="942" w:type="dxa"/>
            <w:vAlign w:val="center"/>
          </w:tcPr>
          <w:p>
            <w:pPr>
              <w:snapToGrid w:val="0"/>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vAlign w:val="center"/>
          </w:tcPr>
          <w:p>
            <w:pPr>
              <w:snapToGrid w:val="0"/>
              <w:rPr>
                <w:rFonts w:hAnsi="仿宋_GB2312" w:cs="仿宋_GB2312"/>
                <w:color w:val="000000"/>
                <w:sz w:val="28"/>
                <w:szCs w:val="28"/>
              </w:rPr>
            </w:pPr>
            <w:r>
              <w:rPr>
                <w:rFonts w:hint="eastAsia" w:hAnsi="仿宋_GB2312" w:cs="仿宋_GB2312"/>
                <w:color w:val="000000"/>
                <w:sz w:val="28"/>
                <w:szCs w:val="28"/>
              </w:rPr>
              <w:t>8</w:t>
            </w:r>
          </w:p>
        </w:tc>
        <w:tc>
          <w:tcPr>
            <w:tcW w:w="3544" w:type="dxa"/>
            <w:gridSpan w:val="2"/>
            <w:vAlign w:val="center"/>
          </w:tcPr>
          <w:p>
            <w:pPr>
              <w:snapToGrid w:val="0"/>
              <w:jc w:val="both"/>
              <w:rPr>
                <w:rFonts w:hAnsi="仿宋_GB2312" w:cs="仿宋_GB2312"/>
                <w:color w:val="000000"/>
                <w:sz w:val="21"/>
                <w:szCs w:val="21"/>
              </w:rPr>
            </w:pPr>
            <w:r>
              <w:rPr>
                <w:rFonts w:hint="eastAsia" w:ascii="宋体" w:hAnsi="宋体"/>
                <w:color w:val="000000"/>
                <w:sz w:val="18"/>
                <w:szCs w:val="18"/>
                <w:shd w:val="clear" w:color="auto" w:fill="F7FAFF"/>
              </w:rPr>
              <w:t>发展新质生产力，衡阳的“赛道”在哪里？</w:t>
            </w:r>
          </w:p>
        </w:tc>
        <w:tc>
          <w:tcPr>
            <w:tcW w:w="849" w:type="dxa"/>
            <w:vAlign w:val="center"/>
          </w:tcPr>
          <w:p>
            <w:pPr>
              <w:snapToGrid w:val="0"/>
              <w:rPr>
                <w:rFonts w:hAnsi="仿宋_GB2312" w:cs="仿宋_GB2312"/>
                <w:color w:val="000000"/>
                <w:sz w:val="21"/>
                <w:szCs w:val="21"/>
              </w:rPr>
            </w:pPr>
            <w:r>
              <w:rPr>
                <w:rFonts w:hint="eastAsia" w:hAnsi="仿宋_GB2312" w:cs="仿宋_GB2312"/>
                <w:color w:val="000000"/>
                <w:sz w:val="21"/>
                <w:szCs w:val="21"/>
                <w:lang w:val="en-US" w:eastAsia="zh-CN"/>
              </w:rPr>
              <w:t>通讯</w:t>
            </w:r>
          </w:p>
        </w:tc>
        <w:tc>
          <w:tcPr>
            <w:tcW w:w="992" w:type="dxa"/>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3902</w:t>
            </w:r>
          </w:p>
        </w:tc>
        <w:tc>
          <w:tcPr>
            <w:tcW w:w="1559" w:type="dxa"/>
            <w:vAlign w:val="center"/>
          </w:tcPr>
          <w:p>
            <w:pPr>
              <w:snapToGrid w:val="0"/>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4月17日</w:t>
            </w:r>
          </w:p>
        </w:tc>
        <w:tc>
          <w:tcPr>
            <w:tcW w:w="996" w:type="dxa"/>
            <w:vAlign w:val="center"/>
          </w:tcPr>
          <w:p>
            <w:pPr>
              <w:snapToGrid w:val="0"/>
              <w:rPr>
                <w:rFonts w:hAnsi="仿宋_GB2312" w:cs="仿宋_GB2312"/>
                <w:color w:val="000000"/>
                <w:sz w:val="21"/>
                <w:szCs w:val="21"/>
              </w:rPr>
            </w:pPr>
          </w:p>
        </w:tc>
        <w:tc>
          <w:tcPr>
            <w:tcW w:w="942" w:type="dxa"/>
            <w:vAlign w:val="center"/>
          </w:tcPr>
          <w:p>
            <w:pPr>
              <w:snapToGrid w:val="0"/>
              <w:rPr>
                <w:rFonts w:hint="default" w:hAnsi="仿宋_GB2312" w:cs="仿宋_GB2312"/>
                <w:color w:val="000000"/>
                <w:sz w:val="21"/>
                <w:szCs w:val="21"/>
                <w:lang w:val="en-US"/>
              </w:rPr>
            </w:pPr>
            <w:r>
              <w:rPr>
                <w:rFonts w:hint="eastAsia" w:ascii="宋体" w:hAnsi="宋体"/>
                <w:color w:val="000000"/>
                <w:sz w:val="18"/>
                <w:szCs w:val="18"/>
                <w:shd w:val="clear" w:color="auto" w:fill="F7FAFF"/>
                <w:lang w:val="en-US" w:eastAsia="zh-CN"/>
              </w:rPr>
              <w:t>代表作三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vAlign w:val="center"/>
          </w:tcPr>
          <w:p>
            <w:pPr>
              <w:snapToGrid w:val="0"/>
              <w:rPr>
                <w:rFonts w:hAnsi="仿宋_GB2312" w:cs="仿宋_GB2312"/>
                <w:color w:val="000000"/>
                <w:sz w:val="28"/>
                <w:szCs w:val="28"/>
              </w:rPr>
            </w:pPr>
            <w:r>
              <w:rPr>
                <w:rFonts w:hint="eastAsia" w:hAnsi="仿宋_GB2312" w:cs="仿宋_GB2312"/>
                <w:color w:val="000000"/>
                <w:sz w:val="28"/>
                <w:szCs w:val="28"/>
              </w:rPr>
              <w:t>9</w:t>
            </w:r>
          </w:p>
        </w:tc>
        <w:tc>
          <w:tcPr>
            <w:tcW w:w="3544" w:type="dxa"/>
            <w:gridSpan w:val="2"/>
            <w:vAlign w:val="center"/>
          </w:tcPr>
          <w:p>
            <w:pPr>
              <w:snapToGrid w:val="0"/>
              <w:rPr>
                <w:rFonts w:hAnsi="仿宋_GB2312" w:cs="仿宋_GB2312"/>
                <w:color w:val="000000"/>
                <w:sz w:val="21"/>
                <w:szCs w:val="21"/>
              </w:rPr>
            </w:pPr>
          </w:p>
        </w:tc>
        <w:tc>
          <w:tcPr>
            <w:tcW w:w="849" w:type="dxa"/>
            <w:vAlign w:val="center"/>
          </w:tcPr>
          <w:p>
            <w:pPr>
              <w:snapToGrid w:val="0"/>
              <w:rPr>
                <w:rFonts w:hAnsi="仿宋_GB2312" w:cs="仿宋_GB2312"/>
                <w:color w:val="000000"/>
                <w:sz w:val="21"/>
                <w:szCs w:val="21"/>
              </w:rPr>
            </w:pPr>
          </w:p>
        </w:tc>
        <w:tc>
          <w:tcPr>
            <w:tcW w:w="992" w:type="dxa"/>
            <w:vAlign w:val="center"/>
          </w:tcPr>
          <w:p>
            <w:pPr>
              <w:snapToGrid w:val="0"/>
              <w:rPr>
                <w:rFonts w:hAnsi="仿宋_GB2312" w:cs="仿宋_GB2312"/>
                <w:color w:val="000000"/>
                <w:sz w:val="21"/>
                <w:szCs w:val="21"/>
              </w:rPr>
            </w:pPr>
          </w:p>
        </w:tc>
        <w:tc>
          <w:tcPr>
            <w:tcW w:w="1559" w:type="dxa"/>
            <w:vAlign w:val="center"/>
          </w:tcPr>
          <w:p>
            <w:pPr>
              <w:snapToGrid w:val="0"/>
              <w:rPr>
                <w:rFonts w:hAnsi="仿宋_GB2312" w:cs="仿宋_GB2312"/>
                <w:color w:val="000000"/>
                <w:sz w:val="21"/>
                <w:szCs w:val="21"/>
              </w:rPr>
            </w:pPr>
          </w:p>
        </w:tc>
        <w:tc>
          <w:tcPr>
            <w:tcW w:w="996" w:type="dxa"/>
            <w:vAlign w:val="center"/>
          </w:tcPr>
          <w:p>
            <w:pPr>
              <w:snapToGrid w:val="0"/>
              <w:rPr>
                <w:rFonts w:hAnsi="仿宋_GB2312" w:cs="仿宋_GB2312"/>
                <w:color w:val="000000"/>
                <w:sz w:val="21"/>
                <w:szCs w:val="21"/>
              </w:rPr>
            </w:pPr>
          </w:p>
        </w:tc>
        <w:tc>
          <w:tcPr>
            <w:tcW w:w="942" w:type="dxa"/>
            <w:vAlign w:val="center"/>
          </w:tcPr>
          <w:p>
            <w:pPr>
              <w:snapToGrid w:val="0"/>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vAlign w:val="center"/>
          </w:tcPr>
          <w:p>
            <w:pPr>
              <w:snapToGrid w:val="0"/>
              <w:rPr>
                <w:rFonts w:hAnsi="仿宋_GB2312" w:cs="仿宋_GB2312"/>
                <w:color w:val="000000"/>
                <w:sz w:val="28"/>
                <w:szCs w:val="28"/>
              </w:rPr>
            </w:pPr>
            <w:r>
              <w:rPr>
                <w:rFonts w:hint="eastAsia" w:hAnsi="仿宋_GB2312" w:cs="仿宋_GB2312"/>
                <w:color w:val="000000"/>
                <w:sz w:val="28"/>
                <w:szCs w:val="28"/>
              </w:rPr>
              <w:t>10</w:t>
            </w:r>
          </w:p>
        </w:tc>
        <w:tc>
          <w:tcPr>
            <w:tcW w:w="3544" w:type="dxa"/>
            <w:gridSpan w:val="2"/>
            <w:vAlign w:val="center"/>
          </w:tcPr>
          <w:p>
            <w:pPr>
              <w:snapToGrid w:val="0"/>
              <w:rPr>
                <w:rFonts w:hAnsi="仿宋_GB2312" w:cs="仿宋_GB2312"/>
                <w:color w:val="000000"/>
                <w:sz w:val="21"/>
                <w:szCs w:val="21"/>
              </w:rPr>
            </w:pPr>
          </w:p>
        </w:tc>
        <w:tc>
          <w:tcPr>
            <w:tcW w:w="849" w:type="dxa"/>
            <w:vAlign w:val="center"/>
          </w:tcPr>
          <w:p>
            <w:pPr>
              <w:snapToGrid w:val="0"/>
              <w:rPr>
                <w:rFonts w:hAnsi="仿宋_GB2312" w:cs="仿宋_GB2312"/>
                <w:color w:val="000000"/>
                <w:sz w:val="21"/>
                <w:szCs w:val="21"/>
              </w:rPr>
            </w:pPr>
          </w:p>
        </w:tc>
        <w:tc>
          <w:tcPr>
            <w:tcW w:w="992" w:type="dxa"/>
            <w:vAlign w:val="center"/>
          </w:tcPr>
          <w:p>
            <w:pPr>
              <w:snapToGrid w:val="0"/>
              <w:rPr>
                <w:rFonts w:hAnsi="仿宋_GB2312" w:cs="仿宋_GB2312"/>
                <w:color w:val="000000"/>
                <w:sz w:val="21"/>
                <w:szCs w:val="21"/>
              </w:rPr>
            </w:pPr>
          </w:p>
        </w:tc>
        <w:tc>
          <w:tcPr>
            <w:tcW w:w="1559" w:type="dxa"/>
            <w:vAlign w:val="center"/>
          </w:tcPr>
          <w:p>
            <w:pPr>
              <w:snapToGrid w:val="0"/>
              <w:rPr>
                <w:rFonts w:hAnsi="仿宋_GB2312" w:cs="仿宋_GB2312"/>
                <w:color w:val="000000"/>
                <w:sz w:val="21"/>
                <w:szCs w:val="21"/>
              </w:rPr>
            </w:pPr>
          </w:p>
        </w:tc>
        <w:tc>
          <w:tcPr>
            <w:tcW w:w="996" w:type="dxa"/>
            <w:vAlign w:val="center"/>
          </w:tcPr>
          <w:p>
            <w:pPr>
              <w:snapToGrid w:val="0"/>
              <w:rPr>
                <w:rFonts w:hAnsi="仿宋_GB2312" w:cs="仿宋_GB2312"/>
                <w:color w:val="000000"/>
                <w:sz w:val="21"/>
                <w:szCs w:val="21"/>
              </w:rPr>
            </w:pPr>
          </w:p>
        </w:tc>
        <w:tc>
          <w:tcPr>
            <w:tcW w:w="942" w:type="dxa"/>
            <w:vAlign w:val="center"/>
          </w:tcPr>
          <w:p>
            <w:pPr>
              <w:snapToGrid w:val="0"/>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vAlign w:val="center"/>
          </w:tcPr>
          <w:p>
            <w:pPr>
              <w:snapToGrid w:val="0"/>
              <w:rPr>
                <w:rFonts w:hAnsi="仿宋_GB2312" w:cs="仿宋_GB2312"/>
                <w:color w:val="000000"/>
                <w:sz w:val="28"/>
                <w:szCs w:val="28"/>
              </w:rPr>
            </w:pPr>
            <w:r>
              <w:rPr>
                <w:rFonts w:hint="eastAsia" w:hAnsi="仿宋_GB2312" w:cs="仿宋_GB2312"/>
                <w:color w:val="000000"/>
                <w:sz w:val="28"/>
                <w:szCs w:val="28"/>
              </w:rPr>
              <w:t>11</w:t>
            </w:r>
          </w:p>
        </w:tc>
        <w:tc>
          <w:tcPr>
            <w:tcW w:w="3544" w:type="dxa"/>
            <w:gridSpan w:val="2"/>
            <w:vAlign w:val="center"/>
          </w:tcPr>
          <w:p>
            <w:pPr>
              <w:snapToGrid w:val="0"/>
              <w:rPr>
                <w:rFonts w:hAnsi="仿宋_GB2312" w:cs="仿宋_GB2312"/>
                <w:color w:val="000000"/>
                <w:sz w:val="21"/>
                <w:szCs w:val="21"/>
              </w:rPr>
            </w:pPr>
          </w:p>
        </w:tc>
        <w:tc>
          <w:tcPr>
            <w:tcW w:w="849" w:type="dxa"/>
            <w:vAlign w:val="center"/>
          </w:tcPr>
          <w:p>
            <w:pPr>
              <w:snapToGrid w:val="0"/>
              <w:rPr>
                <w:rFonts w:hAnsi="仿宋_GB2312" w:cs="仿宋_GB2312"/>
                <w:color w:val="000000"/>
                <w:sz w:val="21"/>
                <w:szCs w:val="21"/>
              </w:rPr>
            </w:pPr>
          </w:p>
        </w:tc>
        <w:tc>
          <w:tcPr>
            <w:tcW w:w="992" w:type="dxa"/>
            <w:vAlign w:val="center"/>
          </w:tcPr>
          <w:p>
            <w:pPr>
              <w:snapToGrid w:val="0"/>
              <w:rPr>
                <w:rFonts w:hAnsi="仿宋_GB2312" w:cs="仿宋_GB2312"/>
                <w:color w:val="000000"/>
                <w:sz w:val="21"/>
                <w:szCs w:val="21"/>
              </w:rPr>
            </w:pPr>
          </w:p>
        </w:tc>
        <w:tc>
          <w:tcPr>
            <w:tcW w:w="1559" w:type="dxa"/>
            <w:vAlign w:val="center"/>
          </w:tcPr>
          <w:p>
            <w:pPr>
              <w:snapToGrid w:val="0"/>
              <w:rPr>
                <w:rFonts w:hAnsi="仿宋_GB2312" w:cs="仿宋_GB2312"/>
                <w:color w:val="000000"/>
                <w:sz w:val="21"/>
                <w:szCs w:val="21"/>
              </w:rPr>
            </w:pPr>
          </w:p>
        </w:tc>
        <w:tc>
          <w:tcPr>
            <w:tcW w:w="996" w:type="dxa"/>
            <w:vAlign w:val="center"/>
          </w:tcPr>
          <w:p>
            <w:pPr>
              <w:snapToGrid w:val="0"/>
              <w:rPr>
                <w:rFonts w:hAnsi="仿宋_GB2312" w:cs="仿宋_GB2312"/>
                <w:color w:val="000000"/>
                <w:sz w:val="21"/>
                <w:szCs w:val="21"/>
              </w:rPr>
            </w:pPr>
          </w:p>
        </w:tc>
        <w:tc>
          <w:tcPr>
            <w:tcW w:w="942" w:type="dxa"/>
            <w:vAlign w:val="center"/>
          </w:tcPr>
          <w:p>
            <w:pPr>
              <w:snapToGrid w:val="0"/>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31" w:type="dxa"/>
            <w:vAlign w:val="center"/>
          </w:tcPr>
          <w:p>
            <w:pPr>
              <w:snapToGrid w:val="0"/>
              <w:rPr>
                <w:rFonts w:hAnsi="仿宋_GB2312" w:cs="仿宋_GB2312"/>
                <w:color w:val="000000"/>
                <w:sz w:val="28"/>
                <w:szCs w:val="28"/>
              </w:rPr>
            </w:pPr>
            <w:r>
              <w:rPr>
                <w:rFonts w:hint="eastAsia" w:hAnsi="仿宋_GB2312" w:cs="仿宋_GB2312"/>
                <w:color w:val="000000"/>
                <w:sz w:val="28"/>
                <w:szCs w:val="28"/>
              </w:rPr>
              <w:t>12</w:t>
            </w:r>
          </w:p>
        </w:tc>
        <w:tc>
          <w:tcPr>
            <w:tcW w:w="3544" w:type="dxa"/>
            <w:gridSpan w:val="2"/>
            <w:vAlign w:val="center"/>
          </w:tcPr>
          <w:p>
            <w:pPr>
              <w:snapToGrid w:val="0"/>
              <w:rPr>
                <w:rFonts w:hAnsi="仿宋_GB2312" w:cs="仿宋_GB2312"/>
                <w:color w:val="000000"/>
                <w:sz w:val="21"/>
                <w:szCs w:val="21"/>
              </w:rPr>
            </w:pPr>
          </w:p>
        </w:tc>
        <w:tc>
          <w:tcPr>
            <w:tcW w:w="849" w:type="dxa"/>
            <w:vAlign w:val="center"/>
          </w:tcPr>
          <w:p>
            <w:pPr>
              <w:snapToGrid w:val="0"/>
              <w:rPr>
                <w:rFonts w:hAnsi="仿宋_GB2312" w:cs="仿宋_GB2312"/>
                <w:color w:val="000000"/>
                <w:sz w:val="21"/>
                <w:szCs w:val="21"/>
              </w:rPr>
            </w:pPr>
          </w:p>
        </w:tc>
        <w:tc>
          <w:tcPr>
            <w:tcW w:w="992" w:type="dxa"/>
            <w:vAlign w:val="center"/>
          </w:tcPr>
          <w:p>
            <w:pPr>
              <w:snapToGrid w:val="0"/>
              <w:rPr>
                <w:rFonts w:hAnsi="仿宋_GB2312" w:cs="仿宋_GB2312"/>
                <w:color w:val="000000"/>
                <w:sz w:val="21"/>
                <w:szCs w:val="21"/>
              </w:rPr>
            </w:pPr>
          </w:p>
        </w:tc>
        <w:tc>
          <w:tcPr>
            <w:tcW w:w="1559" w:type="dxa"/>
            <w:vAlign w:val="center"/>
          </w:tcPr>
          <w:p>
            <w:pPr>
              <w:snapToGrid w:val="0"/>
              <w:rPr>
                <w:rFonts w:hAnsi="仿宋_GB2312" w:cs="仿宋_GB2312"/>
                <w:color w:val="000000"/>
                <w:sz w:val="21"/>
                <w:szCs w:val="21"/>
              </w:rPr>
            </w:pPr>
          </w:p>
        </w:tc>
        <w:tc>
          <w:tcPr>
            <w:tcW w:w="996" w:type="dxa"/>
            <w:vAlign w:val="center"/>
          </w:tcPr>
          <w:p>
            <w:pPr>
              <w:snapToGrid w:val="0"/>
              <w:rPr>
                <w:rFonts w:hAnsi="仿宋_GB2312" w:cs="仿宋_GB2312"/>
                <w:color w:val="000000"/>
                <w:sz w:val="21"/>
                <w:szCs w:val="21"/>
              </w:rPr>
            </w:pPr>
          </w:p>
        </w:tc>
        <w:tc>
          <w:tcPr>
            <w:tcW w:w="942" w:type="dxa"/>
            <w:vAlign w:val="center"/>
          </w:tcPr>
          <w:p>
            <w:pPr>
              <w:snapToGrid w:val="0"/>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713" w:type="dxa"/>
            <w:gridSpan w:val="8"/>
            <w:tcBorders>
              <w:left w:val="nil"/>
              <w:bottom w:val="nil"/>
              <w:right w:val="nil"/>
            </w:tcBorders>
            <w:vAlign w:val="center"/>
          </w:tcPr>
          <w:p>
            <w:pPr>
              <w:numPr>
                <w:ilvl w:val="0"/>
                <w:numId w:val="1"/>
              </w:numPr>
              <w:spacing w:line="320" w:lineRule="exact"/>
              <w:jc w:val="left"/>
              <w:rPr>
                <w:rFonts w:ascii="楷体" w:hAnsi="楷体" w:eastAsia="楷体" w:cs="楷体"/>
                <w:color w:val="000000"/>
                <w:sz w:val="21"/>
                <w:szCs w:val="21"/>
              </w:rPr>
            </w:pPr>
            <w:r>
              <w:rPr>
                <w:rFonts w:hint="eastAsia" w:ascii="楷体" w:hAnsi="楷体" w:eastAsia="楷体" w:cs="楷体"/>
                <w:color w:val="000000"/>
                <w:sz w:val="21"/>
                <w:szCs w:val="21"/>
              </w:rPr>
              <w:t>附在参评作品推荐表后。</w:t>
            </w:r>
          </w:p>
          <w:p>
            <w:pPr>
              <w:numPr>
                <w:ilvl w:val="0"/>
                <w:numId w:val="1"/>
              </w:numPr>
              <w:spacing w:line="320" w:lineRule="exact"/>
              <w:jc w:val="left"/>
              <w:rPr>
                <w:rFonts w:ascii="楷体" w:hAnsi="楷体" w:eastAsia="楷体" w:cs="楷体"/>
                <w:color w:val="000000"/>
                <w:sz w:val="21"/>
                <w:szCs w:val="21"/>
              </w:rPr>
            </w:pPr>
            <w:r>
              <w:rPr>
                <w:rFonts w:hint="eastAsia" w:ascii="楷体" w:hAnsi="楷体" w:eastAsia="楷体" w:cs="楷体"/>
                <w:color w:val="000000"/>
                <w:sz w:val="21"/>
                <w:szCs w:val="21"/>
              </w:rPr>
              <w:t>三篇代表作必须从开头、中间、结尾三部分中各选1篇，并在“备注”栏内注明“代表作”字样。</w:t>
            </w:r>
          </w:p>
          <w:p>
            <w:pPr>
              <w:numPr>
                <w:ilvl w:val="0"/>
                <w:numId w:val="1"/>
              </w:numPr>
              <w:spacing w:line="320" w:lineRule="exact"/>
              <w:jc w:val="left"/>
              <w:rPr>
                <w:rFonts w:ascii="楷体" w:hAnsi="楷体" w:eastAsia="楷体" w:cs="楷体"/>
                <w:color w:val="000000"/>
                <w:sz w:val="21"/>
                <w:szCs w:val="21"/>
              </w:rPr>
            </w:pPr>
            <w:r>
              <w:rPr>
                <w:rFonts w:hint="eastAsia" w:ascii="楷体" w:hAnsi="楷体" w:eastAsia="楷体" w:cs="楷体"/>
                <w:color w:val="000000"/>
                <w:sz w:val="21"/>
                <w:szCs w:val="21"/>
              </w:rPr>
              <w:t>填报作品按发表时间排序。</w:t>
            </w:r>
          </w:p>
          <w:p>
            <w:pPr>
              <w:numPr>
                <w:ilvl w:val="0"/>
                <w:numId w:val="1"/>
              </w:numPr>
              <w:spacing w:line="320" w:lineRule="exact"/>
              <w:jc w:val="left"/>
              <w:rPr>
                <w:rFonts w:ascii="楷体" w:hAnsi="楷体" w:eastAsia="楷体" w:cs="楷体"/>
                <w:color w:val="000000"/>
                <w:sz w:val="21"/>
                <w:szCs w:val="21"/>
              </w:rPr>
            </w:pPr>
            <w:r>
              <w:rPr>
                <w:rFonts w:hint="eastAsia" w:ascii="楷体" w:hAnsi="楷体" w:eastAsia="楷体" w:cs="楷体"/>
                <w:color w:val="000000"/>
                <w:sz w:val="21"/>
                <w:szCs w:val="21"/>
              </w:rPr>
              <w:t>音视频内容，应填报时长。</w:t>
            </w:r>
          </w:p>
          <w:p>
            <w:pPr>
              <w:numPr>
                <w:ilvl w:val="0"/>
                <w:numId w:val="1"/>
              </w:numPr>
              <w:spacing w:line="320" w:lineRule="exact"/>
              <w:jc w:val="left"/>
              <w:rPr>
                <w:rFonts w:ascii="楷体" w:hAnsi="楷体" w:eastAsia="楷体"/>
                <w:color w:val="000000"/>
                <w:sz w:val="28"/>
              </w:rPr>
            </w:pPr>
            <w:r>
              <w:rPr>
                <w:rFonts w:hint="eastAsia" w:ascii="楷体" w:hAnsi="楷体" w:eastAsia="楷体" w:cs="楷体"/>
                <w:color w:val="000000"/>
                <w:sz w:val="21"/>
                <w:szCs w:val="21"/>
              </w:rPr>
              <w:t>广播、电视、新媒体作品在“刊播日期”栏内填报播出日期及时间；在“刊播版面”栏内填报作品刊播频道、频率、账号和栏目名称。</w:t>
            </w:r>
          </w:p>
        </w:tc>
      </w:tr>
    </w:tbl>
    <w:p/>
    <w:p>
      <w:pPr>
        <w:bidi w:val="0"/>
        <w:jc w:val="center"/>
        <w:rPr>
          <w:rFonts w:hint="eastAsia" w:asciiTheme="majorEastAsia" w:hAnsiTheme="majorEastAsia" w:eastAsiaTheme="majorEastAsia" w:cstheme="majorEastAsia"/>
          <w:b/>
          <w:bCs/>
          <w:sz w:val="28"/>
          <w:szCs w:val="28"/>
          <w:lang w:val="en-US" w:eastAsia="zh-CN"/>
        </w:rPr>
      </w:pPr>
    </w:p>
    <w:p>
      <w:pPr>
        <w:bidi w:val="0"/>
        <w:jc w:val="center"/>
        <w:rPr>
          <w:rFonts w:hint="eastAsia" w:asciiTheme="majorEastAsia" w:hAnsiTheme="majorEastAsia" w:eastAsiaTheme="majorEastAsia" w:cstheme="majorEastAsia"/>
          <w:b/>
          <w:bCs/>
          <w:sz w:val="28"/>
          <w:szCs w:val="28"/>
          <w:lang w:val="en-US" w:eastAsia="zh-CN"/>
        </w:rPr>
      </w:pPr>
    </w:p>
    <w:p>
      <w:pPr>
        <w:jc w:val="both"/>
        <w:rPr>
          <w:rFonts w:hint="default" w:eastAsiaTheme="minorEastAsia"/>
          <w:lang w:val="en-US" w:eastAsia="zh-CN"/>
        </w:rPr>
      </w:pPr>
      <w:r>
        <w:rPr>
          <w:rFonts w:hint="eastAsia" w:eastAsiaTheme="minorEastAsia"/>
          <w:lang w:eastAsia="zh-CN"/>
        </w:rPr>
        <w:t>代表作</w:t>
      </w:r>
      <w:r>
        <w:rPr>
          <w:rFonts w:hint="eastAsia" w:eastAsiaTheme="minorEastAsia"/>
          <w:lang w:val="en-US" w:eastAsia="zh-CN"/>
        </w:rPr>
        <w:t>1                             代表作2</w:t>
      </w:r>
    </w:p>
    <w:p>
      <w:pPr>
        <w:jc w:val="both"/>
        <w:rPr>
          <w:rFonts w:hint="eastAsia" w:eastAsiaTheme="minorEastAsia"/>
          <w:lang w:val="en-US" w:eastAsia="zh-CN"/>
        </w:rPr>
      </w:pPr>
      <w:r>
        <w:rPr>
          <w:rFonts w:hint="eastAsia" w:eastAsiaTheme="minorEastAsia"/>
          <w:lang w:eastAsia="zh-CN"/>
        </w:rPr>
        <w:drawing>
          <wp:inline distT="0" distB="0" distL="114300" distR="114300">
            <wp:extent cx="1991360" cy="1993265"/>
            <wp:effectExtent l="0" t="0" r="8890" b="6985"/>
            <wp:docPr id="2" name="图片 2" descr="第一篇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第一篇二维码"/>
                    <pic:cNvPicPr>
                      <a:picLocks noChangeAspect="true"/>
                    </pic:cNvPicPr>
                  </pic:nvPicPr>
                  <pic:blipFill>
                    <a:blip r:embed="rId7"/>
                    <a:stretch>
                      <a:fillRect/>
                    </a:stretch>
                  </pic:blipFill>
                  <pic:spPr>
                    <a:xfrm>
                      <a:off x="0" y="0"/>
                      <a:ext cx="1991360" cy="1993265"/>
                    </a:xfrm>
                    <a:prstGeom prst="rect">
                      <a:avLst/>
                    </a:prstGeom>
                  </pic:spPr>
                </pic:pic>
              </a:graphicData>
            </a:graphic>
          </wp:inline>
        </w:drawing>
      </w:r>
      <w:r>
        <w:rPr>
          <w:rFonts w:hint="eastAsia" w:eastAsiaTheme="minorEastAsia"/>
          <w:lang w:val="en-US" w:eastAsia="zh-CN"/>
        </w:rPr>
        <w:t xml:space="preserve">          </w:t>
      </w:r>
      <w:r>
        <w:rPr>
          <w:rFonts w:hint="default"/>
          <w:sz w:val="28"/>
          <w:szCs w:val="28"/>
          <w:lang w:val="en-US" w:eastAsia="zh-CN"/>
        </w:rPr>
        <w:drawing>
          <wp:inline distT="0" distB="0" distL="114300" distR="114300">
            <wp:extent cx="1996440" cy="1974850"/>
            <wp:effectExtent l="0" t="0" r="3810" b="6350"/>
            <wp:docPr id="3" name="图片 3" descr="第三篇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第三篇二维码"/>
                    <pic:cNvPicPr>
                      <a:picLocks noChangeAspect="true"/>
                    </pic:cNvPicPr>
                  </pic:nvPicPr>
                  <pic:blipFill>
                    <a:blip r:embed="rId8"/>
                    <a:stretch>
                      <a:fillRect/>
                    </a:stretch>
                  </pic:blipFill>
                  <pic:spPr>
                    <a:xfrm>
                      <a:off x="0" y="0"/>
                      <a:ext cx="1996440" cy="1974850"/>
                    </a:xfrm>
                    <a:prstGeom prst="rect">
                      <a:avLst/>
                    </a:prstGeom>
                  </pic:spPr>
                </pic:pic>
              </a:graphicData>
            </a:graphic>
          </wp:inline>
        </w:drawing>
      </w:r>
      <w:r>
        <w:rPr>
          <w:rFonts w:hint="eastAsia" w:eastAsiaTheme="minorEastAsia"/>
          <w:lang w:val="en-US" w:eastAsia="zh-CN"/>
        </w:rPr>
        <w:t xml:space="preserve"> </w:t>
      </w:r>
    </w:p>
    <w:p>
      <w:pPr>
        <w:jc w:val="both"/>
        <w:rPr>
          <w:rFonts w:hint="eastAsia" w:eastAsiaTheme="minorEastAsia"/>
          <w:lang w:val="en-US" w:eastAsia="zh-CN"/>
        </w:rPr>
      </w:pPr>
    </w:p>
    <w:p>
      <w:pPr>
        <w:jc w:val="both"/>
        <w:rPr>
          <w:rFonts w:hint="default" w:eastAsiaTheme="minorEastAsia"/>
          <w:lang w:val="en-US" w:eastAsia="zh-CN"/>
        </w:rPr>
      </w:pPr>
      <w:r>
        <w:rPr>
          <w:rFonts w:hint="eastAsia" w:eastAsiaTheme="minorEastAsia"/>
          <w:lang w:val="en-US" w:eastAsia="zh-CN"/>
        </w:rPr>
        <w:t>代表作3</w:t>
      </w:r>
    </w:p>
    <w:p>
      <w:pPr>
        <w:jc w:val="both"/>
        <w:rPr>
          <w:rFonts w:hint="default"/>
          <w:sz w:val="28"/>
          <w:szCs w:val="28"/>
          <w:lang w:val="en-US" w:eastAsia="zh-CN"/>
        </w:rPr>
      </w:pPr>
      <w:r>
        <w:rPr>
          <w:rFonts w:hint="default"/>
          <w:sz w:val="28"/>
          <w:szCs w:val="28"/>
          <w:lang w:val="en-US" w:eastAsia="zh-CN"/>
        </w:rPr>
        <w:drawing>
          <wp:inline distT="0" distB="0" distL="114300" distR="114300">
            <wp:extent cx="1990725" cy="1936750"/>
            <wp:effectExtent l="0" t="0" r="9525" b="6350"/>
            <wp:docPr id="4" name="图片 4" descr="第八篇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第八篇二维码"/>
                    <pic:cNvPicPr>
                      <a:picLocks noChangeAspect="true"/>
                    </pic:cNvPicPr>
                  </pic:nvPicPr>
                  <pic:blipFill>
                    <a:blip r:embed="rId9"/>
                    <a:stretch>
                      <a:fillRect/>
                    </a:stretch>
                  </pic:blipFill>
                  <pic:spPr>
                    <a:xfrm>
                      <a:off x="0" y="0"/>
                      <a:ext cx="1990725" cy="1936750"/>
                    </a:xfrm>
                    <a:prstGeom prst="rect">
                      <a:avLst/>
                    </a:prstGeom>
                  </pic:spPr>
                </pic:pic>
              </a:graphicData>
            </a:graphic>
          </wp:inline>
        </w:drawing>
      </w: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eastAsia" w:eastAsiaTheme="minorEastAsia"/>
          <w:lang w:eastAsia="zh-CN"/>
        </w:rPr>
      </w:pPr>
      <w:r>
        <w:rPr>
          <w:rFonts w:hint="eastAsia" w:eastAsiaTheme="minorEastAsia"/>
          <w:lang w:eastAsia="zh-CN"/>
        </w:rPr>
        <w:drawing>
          <wp:inline distT="0" distB="0" distL="114300" distR="114300">
            <wp:extent cx="2185670" cy="4131310"/>
            <wp:effectExtent l="0" t="0" r="5080" b="2540"/>
            <wp:docPr id="1" name="图片 1" descr="微信图片_202502200941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50220094138"/>
                    <pic:cNvPicPr>
                      <a:picLocks noChangeAspect="true"/>
                    </pic:cNvPicPr>
                  </pic:nvPicPr>
                  <pic:blipFill>
                    <a:blip r:embed="rId10"/>
                    <a:stretch>
                      <a:fillRect/>
                    </a:stretch>
                  </pic:blipFill>
                  <pic:spPr>
                    <a:xfrm>
                      <a:off x="0" y="0"/>
                      <a:ext cx="2185670" cy="4131310"/>
                    </a:xfrm>
                    <a:prstGeom prst="rect">
                      <a:avLst/>
                    </a:prstGeom>
                  </pic:spPr>
                </pic:pic>
              </a:graphicData>
            </a:graphic>
          </wp:inline>
        </w:drawing>
      </w:r>
      <w:r>
        <w:rPr>
          <w:rFonts w:hint="eastAsia" w:eastAsiaTheme="minorEastAsia"/>
          <w:lang w:val="en-US" w:eastAsia="zh-CN"/>
        </w:rPr>
        <w:t xml:space="preserve">            </w:t>
      </w:r>
      <w:r>
        <w:rPr>
          <w:rFonts w:hint="eastAsia" w:eastAsiaTheme="minorEastAsia"/>
          <w:lang w:eastAsia="zh-CN"/>
        </w:rPr>
        <w:drawing>
          <wp:inline distT="0" distB="0" distL="114300" distR="114300">
            <wp:extent cx="1811655" cy="4028440"/>
            <wp:effectExtent l="0" t="0" r="17145" b="10160"/>
            <wp:docPr id="11" name="图片 11"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true"/>
                    </pic:cNvPicPr>
                  </pic:nvPicPr>
                  <pic:blipFill>
                    <a:blip r:embed="rId11"/>
                    <a:stretch>
                      <a:fillRect/>
                    </a:stretch>
                  </pic:blipFill>
                  <pic:spPr>
                    <a:xfrm>
                      <a:off x="0" y="0"/>
                      <a:ext cx="1811655" cy="4028440"/>
                    </a:xfrm>
                    <a:prstGeom prst="rect">
                      <a:avLst/>
                    </a:prstGeom>
                  </pic:spPr>
                </pic:pic>
              </a:graphicData>
            </a:graphic>
          </wp:inline>
        </w:drawing>
      </w:r>
    </w:p>
    <w:p>
      <w:pPr>
        <w:jc w:val="both"/>
        <w:rPr>
          <w:rFonts w:hint="eastAsia" w:eastAsiaTheme="minorEastAsia"/>
          <w:lang w:eastAsia="zh-CN"/>
        </w:rPr>
      </w:pPr>
    </w:p>
    <w:p>
      <w:pPr>
        <w:jc w:val="both"/>
        <w:rPr>
          <w:rFonts w:hint="eastAsia" w:eastAsiaTheme="minorEastAsia"/>
          <w:lang w:eastAsia="zh-CN"/>
        </w:rPr>
      </w:pPr>
      <w:r>
        <w:rPr>
          <w:rFonts w:hint="eastAsia" w:eastAsiaTheme="minorEastAsia"/>
          <w:lang w:eastAsia="zh-CN"/>
        </w:rPr>
        <w:drawing>
          <wp:inline distT="0" distB="0" distL="114300" distR="114300">
            <wp:extent cx="1642745" cy="3653155"/>
            <wp:effectExtent l="0" t="0" r="14605" b="4445"/>
            <wp:docPr id="5" name="图片 5" descr="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9"/>
                    <pic:cNvPicPr>
                      <a:picLocks noChangeAspect="true"/>
                    </pic:cNvPicPr>
                  </pic:nvPicPr>
                  <pic:blipFill>
                    <a:blip r:embed="rId12"/>
                    <a:stretch>
                      <a:fillRect/>
                    </a:stretch>
                  </pic:blipFill>
                  <pic:spPr>
                    <a:xfrm>
                      <a:off x="0" y="0"/>
                      <a:ext cx="1642745" cy="3653155"/>
                    </a:xfrm>
                    <a:prstGeom prst="rect">
                      <a:avLst/>
                    </a:prstGeom>
                  </pic:spPr>
                </pic:pic>
              </a:graphicData>
            </a:graphic>
          </wp:inline>
        </w:drawing>
      </w:r>
    </w:p>
    <w:p>
      <w:pPr>
        <w:jc w:val="both"/>
        <w:rPr>
          <w:rFonts w:hint="eastAsia" w:eastAsiaTheme="minorEastAsia"/>
          <w:lang w:eastAsia="zh-CN"/>
        </w:rPr>
      </w:pPr>
    </w:p>
    <w:p>
      <w:pPr>
        <w:jc w:val="both"/>
        <w:rPr>
          <w:rFonts w:hint="eastAsia" w:eastAsiaTheme="minorEastAsia"/>
          <w:lang w:eastAsia="zh-CN"/>
        </w:rPr>
      </w:pPr>
    </w:p>
    <w:p>
      <w:pPr>
        <w:bidi w:val="0"/>
        <w:jc w:val="both"/>
        <w:rPr>
          <w:rFonts w:hint="eastAsia"/>
          <w:b/>
          <w:bCs/>
          <w:sz w:val="24"/>
          <w:szCs w:val="24"/>
        </w:rPr>
      </w:pPr>
      <w:r>
        <w:rPr>
          <w:rFonts w:hint="eastAsia"/>
          <w:b/>
          <w:bCs/>
          <w:sz w:val="24"/>
          <w:szCs w:val="24"/>
        </w:rPr>
        <w:t>编者按</w:t>
      </w:r>
    </w:p>
    <w:p>
      <w:pPr>
        <w:bidi w:val="0"/>
        <w:rPr>
          <w:rFonts w:hint="eastAsia"/>
          <w:sz w:val="24"/>
          <w:szCs w:val="24"/>
        </w:rPr>
      </w:pPr>
      <w:r>
        <w:rPr>
          <w:rFonts w:hint="eastAsia"/>
          <w:sz w:val="24"/>
          <w:szCs w:val="24"/>
        </w:rPr>
        <w:t>　　当下，新质生产力已成为中国经济热词。</w:t>
      </w:r>
    </w:p>
    <w:p>
      <w:pPr>
        <w:bidi w:val="0"/>
        <w:rPr>
          <w:rFonts w:hint="eastAsia"/>
          <w:sz w:val="24"/>
          <w:szCs w:val="24"/>
        </w:rPr>
      </w:pPr>
      <w:r>
        <w:rPr>
          <w:rFonts w:hint="eastAsia"/>
          <w:sz w:val="24"/>
          <w:szCs w:val="24"/>
        </w:rPr>
        <w:t>　　何为新质生产力？习近平总书记曾凝练概括：“特点是创新，关键在质优，本质是先进生产力。”</w:t>
      </w:r>
    </w:p>
    <w:p>
      <w:pPr>
        <w:bidi w:val="0"/>
        <w:ind w:firstLine="560"/>
        <w:rPr>
          <w:rFonts w:hint="eastAsia"/>
          <w:sz w:val="24"/>
          <w:szCs w:val="24"/>
        </w:rPr>
      </w:pPr>
      <w:r>
        <w:rPr>
          <w:rFonts w:hint="eastAsia"/>
          <w:sz w:val="24"/>
          <w:szCs w:val="24"/>
        </w:rPr>
        <w:t>因势而动，顺势而为。新质生产力如何在衡阳释放动能？衡阳日报社特策划推出主题报道：“新”的力量——新质生产力在衡阳。该组报道以“新”为线、以“质”为核，故事化剖析典型个案，小角度映射宏大命题，为衡阳因地制宜发展新质生产力、助推“制造立市”发展战略提供参考，敬请关注。</w:t>
      </w:r>
    </w:p>
    <w:p>
      <w:pPr>
        <w:bidi w:val="0"/>
        <w:jc w:val="center"/>
        <w:rPr>
          <w:b/>
          <w:bCs/>
          <w:sz w:val="32"/>
          <w:szCs w:val="32"/>
        </w:rPr>
      </w:pPr>
    </w:p>
    <w:p>
      <w:pPr>
        <w:bidi w:val="0"/>
        <w:jc w:val="center"/>
        <w:rPr>
          <w:b/>
          <w:bCs/>
          <w:sz w:val="28"/>
          <w:szCs w:val="28"/>
        </w:rPr>
      </w:pPr>
      <w:r>
        <w:rPr>
          <w:b/>
          <w:bCs/>
          <w:sz w:val="28"/>
          <w:szCs w:val="28"/>
        </w:rPr>
        <w:t>凭借智慧 这家企业成为湖南制造业单项冠军</w:t>
      </w:r>
    </w:p>
    <w:p>
      <w:pPr>
        <w:bidi w:val="0"/>
        <w:jc w:val="center"/>
        <w:rPr>
          <w:rFonts w:hint="eastAsia"/>
          <w:sz w:val="24"/>
          <w:szCs w:val="24"/>
        </w:rPr>
      </w:pPr>
      <w:r>
        <w:rPr>
          <w:rFonts w:hint="eastAsia"/>
          <w:sz w:val="24"/>
          <w:szCs w:val="24"/>
        </w:rPr>
        <w:t>衡阳日报全媒体记者 王 靖 邓小山</w:t>
      </w:r>
    </w:p>
    <w:p>
      <w:pPr>
        <w:bidi w:val="0"/>
        <w:rPr>
          <w:rFonts w:hint="eastAsia"/>
          <w:sz w:val="24"/>
          <w:szCs w:val="24"/>
        </w:rPr>
      </w:pPr>
      <w:r>
        <w:rPr>
          <w:rFonts w:hint="eastAsia"/>
          <w:sz w:val="24"/>
          <w:szCs w:val="24"/>
        </w:rPr>
        <w:t>　　“一次设备外观检测正常，测温正常，在线监测数据正常，二次设备运行正常，无异常告警，站用交、直流等重要参数正确……”</w:t>
      </w:r>
    </w:p>
    <w:p>
      <w:pPr>
        <w:bidi w:val="0"/>
        <w:rPr>
          <w:rFonts w:hint="eastAsia"/>
          <w:sz w:val="24"/>
          <w:szCs w:val="24"/>
        </w:rPr>
      </w:pPr>
      <w:r>
        <w:rPr>
          <w:rFonts w:hint="eastAsia"/>
          <w:sz w:val="24"/>
          <w:szCs w:val="24"/>
        </w:rPr>
        <w:t>　　3月7日，国网衡阳供电公司智慧“小新”正向中心集控站反馈衡阳110kV狮子山智慧变电站巡视数据。</w:t>
      </w:r>
    </w:p>
    <w:p>
      <w:pPr>
        <w:bidi w:val="0"/>
        <w:rPr>
          <w:rFonts w:hint="eastAsia"/>
          <w:sz w:val="24"/>
          <w:szCs w:val="24"/>
        </w:rPr>
      </w:pPr>
      <w:r>
        <w:rPr>
          <w:rFonts w:hint="eastAsia"/>
          <w:sz w:val="24"/>
          <w:szCs w:val="24"/>
        </w:rPr>
        <w:t>　　智慧“小新”其实是一个智慧集成系统。2019年11月18日正式营运的狮子山变电站，是当时国内首批（湖南首座）智慧变电站。之所以叫“智慧”变电站，是因为该站把设备状态全息感知、倒闸操作远方一键顺控、机器替代人工巡检、设备缺陷主动预警等功能集成一个综合处理系统，既是“千里眼”，又是“顺风耳”，更是“智慧大脑”。工作人员足不出户，只需轻点鼠标，便能实施远程分析、判断、维护、开展远方停送电等操作。</w:t>
      </w:r>
    </w:p>
    <w:p>
      <w:pPr>
        <w:bidi w:val="0"/>
        <w:rPr>
          <w:rFonts w:hint="eastAsia"/>
          <w:sz w:val="24"/>
          <w:szCs w:val="24"/>
        </w:rPr>
      </w:pPr>
      <w:r>
        <w:rPr>
          <w:rFonts w:hint="eastAsia"/>
          <w:sz w:val="24"/>
          <w:szCs w:val="24"/>
        </w:rPr>
        <w:t>　　狮子山变电站具有智慧能力，离不开一个关键设备——12kV高压智慧开关柜。湖南长高森源电力设备有限公司（以下简称“长高森源”）就是这一设备的研发制造者。凭借行业领先技术，“长高森源”在市场“攻城拔寨”，2023年，以全省60%、全国30%的市场份额，获得第三批湖南省制造业单项冠军。</w:t>
      </w:r>
    </w:p>
    <w:p>
      <w:pPr>
        <w:bidi w:val="0"/>
        <w:rPr>
          <w:rFonts w:hint="eastAsia"/>
          <w:sz w:val="24"/>
          <w:szCs w:val="24"/>
        </w:rPr>
      </w:pPr>
      <w:r>
        <w:rPr>
          <w:rFonts w:hint="eastAsia"/>
          <w:sz w:val="24"/>
          <w:szCs w:val="24"/>
        </w:rPr>
        <w:t>　　若非一番寒彻骨，哪得梅花扑鼻香？“长高森源”如今笑傲江湖，源于多年厚积薄发。</w:t>
      </w:r>
    </w:p>
    <w:p>
      <w:pPr>
        <w:bidi w:val="0"/>
        <w:rPr>
          <w:rFonts w:hint="eastAsia"/>
          <w:sz w:val="24"/>
          <w:szCs w:val="24"/>
        </w:rPr>
      </w:pPr>
      <w:r>
        <w:rPr>
          <w:rFonts w:hint="eastAsia"/>
          <w:sz w:val="24"/>
          <w:szCs w:val="24"/>
        </w:rPr>
        <w:t>　　时间倒回至2018年。彼时，“长高森源”接到一项光荣而艰巨的任务——研发高压智慧开关柜。</w:t>
      </w:r>
    </w:p>
    <w:p>
      <w:pPr>
        <w:bidi w:val="0"/>
        <w:rPr>
          <w:rFonts w:hint="eastAsia"/>
          <w:sz w:val="24"/>
          <w:szCs w:val="24"/>
        </w:rPr>
      </w:pPr>
      <w:r>
        <w:rPr>
          <w:rFonts w:hint="eastAsia"/>
          <w:sz w:val="24"/>
          <w:szCs w:val="24"/>
        </w:rPr>
        <w:t>　　“长高森源”董事长黄新闻回忆：“当时国家电网正筹划向智慧电网进军，要建智慧电网，就离不开智慧变电站，而智慧变电站又离不开高压智慧开关柜。”</w:t>
      </w:r>
    </w:p>
    <w:p>
      <w:pPr>
        <w:bidi w:val="0"/>
        <w:rPr>
          <w:rFonts w:hint="eastAsia"/>
          <w:sz w:val="24"/>
          <w:szCs w:val="24"/>
        </w:rPr>
      </w:pPr>
      <w:r>
        <w:rPr>
          <w:rFonts w:hint="eastAsia"/>
          <w:sz w:val="24"/>
          <w:szCs w:val="24"/>
        </w:rPr>
        <w:t>　　国家电网为什么要“智慧化”？原因在于，传统电网设备操作和巡检完全依赖人工，运行状态无法全面实时感知，隐患缺陷难以及时发现并消除，工作效率低、人员风险大。</w:t>
      </w:r>
    </w:p>
    <w:p>
      <w:pPr>
        <w:bidi w:val="0"/>
        <w:rPr>
          <w:rFonts w:hint="eastAsia"/>
          <w:sz w:val="24"/>
          <w:szCs w:val="24"/>
        </w:rPr>
      </w:pPr>
      <w:r>
        <w:rPr>
          <w:rFonts w:hint="eastAsia"/>
          <w:sz w:val="24"/>
          <w:szCs w:val="24"/>
        </w:rPr>
        <w:t>　　要破解电网规模快速增长与运检力量无法同步增长的矛盾，电网设备必须智能化，而要智能化，高压智慧开关柜就是其中不可缺少的组成部分。</w:t>
      </w:r>
    </w:p>
    <w:p>
      <w:pPr>
        <w:bidi w:val="0"/>
        <w:rPr>
          <w:rFonts w:hint="eastAsia"/>
          <w:sz w:val="24"/>
          <w:szCs w:val="24"/>
        </w:rPr>
      </w:pPr>
      <w:r>
        <w:rPr>
          <w:rFonts w:hint="eastAsia"/>
          <w:sz w:val="24"/>
          <w:szCs w:val="24"/>
        </w:rPr>
        <w:t>　　从传统迈向“智慧”，对于黄新闻而言，是挑战，也是机遇。</w:t>
      </w:r>
    </w:p>
    <w:p>
      <w:pPr>
        <w:bidi w:val="0"/>
        <w:rPr>
          <w:rFonts w:hint="eastAsia"/>
          <w:sz w:val="24"/>
          <w:szCs w:val="24"/>
        </w:rPr>
      </w:pPr>
      <w:r>
        <w:rPr>
          <w:rFonts w:hint="eastAsia"/>
          <w:sz w:val="24"/>
          <w:szCs w:val="24"/>
        </w:rPr>
        <w:t>　　挑战，高压智慧开关柜在当时是行业空白，无现成产品可模仿，研发投入千万元级起步，一旦失败，资金就打了水漂；机遇，湖南是全国七个建设智慧变电站的试点省之一，有5000多座35kV以上变电站，如能率先研发符合要求的高压智慧开关柜，将开辟全新的市场“蓝海”。</w:t>
      </w:r>
    </w:p>
    <w:p>
      <w:pPr>
        <w:bidi w:val="0"/>
        <w:rPr>
          <w:rFonts w:hint="eastAsia"/>
          <w:sz w:val="24"/>
          <w:szCs w:val="24"/>
        </w:rPr>
      </w:pPr>
      <w:r>
        <w:rPr>
          <w:rFonts w:hint="eastAsia"/>
          <w:sz w:val="24"/>
          <w:szCs w:val="24"/>
        </w:rPr>
        <w:t>　　看准了就抓紧干！庞大的潜在市场为黄新闻注入了强大信心，他果断联合湖南大学、厦门大学等专家，与公司技术力量共同组建了研发团队，一头扎进了高压智慧开关柜的研发之中。</w:t>
      </w:r>
    </w:p>
    <w:p>
      <w:pPr>
        <w:bidi w:val="0"/>
        <w:rPr>
          <w:rFonts w:hint="eastAsia"/>
          <w:sz w:val="24"/>
          <w:szCs w:val="24"/>
        </w:rPr>
      </w:pPr>
      <w:r>
        <w:rPr>
          <w:rFonts w:hint="eastAsia"/>
          <w:sz w:val="24"/>
          <w:szCs w:val="24"/>
        </w:rPr>
        <w:t>　　生活从来不会辜负努力的人，你熬过的苦，终究会变成生活的甜。一年多来，累计投入了6000多万元，经历一次又一次失败后，“长高森源”研发团队终于攻关成功，在全国率先研发出高压智慧开关柜！该产品运用5G和传感等技术，通过一键顺控、智能远控等5大技术创新，完美解决市场“痛点”。</w:t>
      </w:r>
    </w:p>
    <w:p>
      <w:pPr>
        <w:bidi w:val="0"/>
        <w:rPr>
          <w:rFonts w:hint="eastAsia"/>
          <w:sz w:val="24"/>
          <w:szCs w:val="24"/>
        </w:rPr>
      </w:pPr>
      <w:r>
        <w:rPr>
          <w:rFonts w:hint="eastAsia"/>
          <w:sz w:val="24"/>
          <w:szCs w:val="24"/>
        </w:rPr>
        <w:t>　　机遇再一次向他们伸出了“橄榄枝”。2019年11月18日，投入运营的衡阳110kV狮子山智慧变电站采用了“长高森源”研发的12kV高压智慧开关柜。</w:t>
      </w:r>
    </w:p>
    <w:p>
      <w:pPr>
        <w:bidi w:val="0"/>
        <w:rPr>
          <w:rFonts w:hint="eastAsia"/>
          <w:sz w:val="24"/>
          <w:szCs w:val="24"/>
        </w:rPr>
      </w:pPr>
      <w:r>
        <w:rPr>
          <w:rFonts w:hint="eastAsia"/>
          <w:sz w:val="24"/>
          <w:szCs w:val="24"/>
        </w:rPr>
        <w:t>　　2019年12月19日，衡阳110kV狮子山智慧变电站平稳投运30天无故障，国家电网公司、国网湖南电力、设备制造厂家以及全省相关地市供电公司相关专家齐聚一堂，举办了一场“满月盛宴”——智慧变电站建设成果推介会。</w:t>
      </w:r>
    </w:p>
    <w:p>
      <w:pPr>
        <w:bidi w:val="0"/>
        <w:rPr>
          <w:rFonts w:hint="eastAsia"/>
          <w:sz w:val="24"/>
          <w:szCs w:val="24"/>
        </w:rPr>
      </w:pPr>
      <w:r>
        <w:rPr>
          <w:rFonts w:hint="eastAsia"/>
          <w:sz w:val="24"/>
          <w:szCs w:val="24"/>
        </w:rPr>
        <w:t>　　会上，与会人员纷纷称赞：“狮子山智慧变电站融合了物联网、人工智能等多项先进技术，推动了变电站‘值班从有人到少人再到集控、巡视从人巡到机巡再到自巡、检修从定检到状检再到智检’的智慧运检模式发展。”</w:t>
      </w:r>
    </w:p>
    <w:p>
      <w:pPr>
        <w:bidi w:val="0"/>
        <w:rPr>
          <w:rFonts w:hint="eastAsia"/>
          <w:sz w:val="24"/>
          <w:szCs w:val="24"/>
        </w:rPr>
      </w:pPr>
      <w:r>
        <w:rPr>
          <w:rFonts w:hint="eastAsia"/>
          <w:sz w:val="24"/>
          <w:szCs w:val="24"/>
        </w:rPr>
        <w:t>　　此次成果推介会上，“长高森源”研发的12kV高压智慧开关柜也一举成名天下知，成为打开市场大门的“金钥匙”。</w:t>
      </w:r>
    </w:p>
    <w:p>
      <w:pPr>
        <w:bidi w:val="0"/>
        <w:rPr>
          <w:rFonts w:hint="eastAsia"/>
          <w:sz w:val="24"/>
          <w:szCs w:val="24"/>
        </w:rPr>
      </w:pPr>
      <w:r>
        <w:rPr>
          <w:rFonts w:hint="eastAsia"/>
          <w:sz w:val="24"/>
          <w:szCs w:val="24"/>
        </w:rPr>
        <w:t>　　“长高森源”牢牢把握了这一宝贵机遇，与国家电网智慧化改造“同频共振”，在智慧开关柜市场大力开疆拓土，迅速成长为全省中压开关领域的龙头企业，并先后荣膺国家级绿色工厂、湖南省“专精特新”小巨人等称号。</w:t>
      </w:r>
    </w:p>
    <w:p>
      <w:pPr>
        <w:bidi w:val="0"/>
        <w:rPr>
          <w:rFonts w:hint="eastAsia"/>
          <w:sz w:val="24"/>
          <w:szCs w:val="24"/>
        </w:rPr>
      </w:pPr>
      <w:r>
        <w:rPr>
          <w:rFonts w:hint="eastAsia"/>
          <w:sz w:val="24"/>
          <w:szCs w:val="24"/>
        </w:rPr>
        <w:t>　　“目前，全省35—550kV智慧变电站都装备了我们的产品。”黄新闻告诉记者，“去年，我们的10-35kV智慧开关柜在国网中标额排名全省第1、全国第5。”</w:t>
      </w:r>
    </w:p>
    <w:p>
      <w:pPr>
        <w:bidi w:val="0"/>
        <w:rPr>
          <w:rFonts w:hint="eastAsia"/>
          <w:sz w:val="24"/>
          <w:szCs w:val="24"/>
        </w:rPr>
      </w:pPr>
      <w:r>
        <w:rPr>
          <w:rFonts w:hint="eastAsia"/>
          <w:sz w:val="24"/>
          <w:szCs w:val="24"/>
        </w:rPr>
        <w:t>　　一项新技术，一个好产品，往往能帮助企业实现原地倍增。以“长高森源”为例，2023年产值突破3亿元，与2019年相比增长1倍，净利润增长了4倍，上交税金增长3倍，黄新闻本人也被评为第二届新湖南贡献奖先进个人。</w:t>
      </w:r>
    </w:p>
    <w:p>
      <w:pPr>
        <w:bidi w:val="0"/>
        <w:rPr>
          <w:rFonts w:hint="eastAsia"/>
          <w:sz w:val="24"/>
          <w:szCs w:val="24"/>
        </w:rPr>
      </w:pPr>
      <w:r>
        <w:rPr>
          <w:rFonts w:hint="eastAsia"/>
          <w:sz w:val="24"/>
          <w:szCs w:val="24"/>
        </w:rPr>
        <w:t>　　光伏、风电等新能源的快速发展，为智慧配电提供了广阔的发展空间。展望未来，黄新闻透露，正在蓄势新建“长高绿色智慧配电产业园”，规划打造4条国内最先进、规模最大的“非晶合金立卷和新型电力电子变压器、智慧开关柜、数字化环保型环网箱、微电网智能储能系统”智能化生产线。项目总投资10亿元，分两期建设，达产后将实现年产值20亿元。</w:t>
      </w:r>
    </w:p>
    <w:p>
      <w:pPr>
        <w:bidi w:val="0"/>
        <w:rPr>
          <w:rFonts w:hint="eastAsia"/>
          <w:sz w:val="24"/>
          <w:szCs w:val="24"/>
        </w:rPr>
      </w:pPr>
      <w:r>
        <w:rPr>
          <w:rFonts w:hint="eastAsia"/>
          <w:sz w:val="24"/>
          <w:szCs w:val="24"/>
        </w:rPr>
        <w:t>　　在“长高森源”生产区，一排排高压智慧开关柜整齐排列，工人正在进行绝缘性能、回路电阻、机械特性等出厂试验，产品即将发往全国各地，这是“长高森源”的繁荣，也是中国电力事业的繁荣。</w:t>
      </w:r>
    </w:p>
    <w:p>
      <w:pPr>
        <w:bidi w:val="0"/>
        <w:rPr>
          <w:sz w:val="24"/>
          <w:szCs w:val="24"/>
        </w:rPr>
      </w:pPr>
    </w:p>
    <w:p>
      <w:pPr>
        <w:bidi w:val="0"/>
        <w:rPr>
          <w:rFonts w:hint="eastAsia"/>
          <w:b/>
          <w:bCs/>
          <w:sz w:val="24"/>
          <w:szCs w:val="24"/>
          <w:lang w:eastAsia="zh-CN"/>
        </w:rPr>
      </w:pPr>
      <w:r>
        <w:rPr>
          <w:rFonts w:hint="eastAsia"/>
          <w:b/>
          <w:bCs/>
          <w:sz w:val="24"/>
          <w:szCs w:val="24"/>
          <w:lang w:eastAsia="zh-CN"/>
        </w:rPr>
        <w:t>记者手记：</w:t>
      </w:r>
    </w:p>
    <w:p>
      <w:pPr>
        <w:bidi w:val="0"/>
        <w:ind w:firstLine="481" w:firstLineChars="200"/>
        <w:jc w:val="center"/>
        <w:rPr>
          <w:b/>
          <w:bCs/>
          <w:sz w:val="24"/>
          <w:szCs w:val="24"/>
        </w:rPr>
      </w:pPr>
      <w:r>
        <w:rPr>
          <w:b/>
          <w:bCs/>
          <w:sz w:val="24"/>
          <w:szCs w:val="24"/>
        </w:rPr>
        <w:t>站在市场风口，有翅膀才能飞翔</w:t>
      </w:r>
    </w:p>
    <w:p>
      <w:pPr>
        <w:bidi w:val="0"/>
        <w:ind w:firstLine="480" w:firstLineChars="200"/>
        <w:rPr>
          <w:rFonts w:hint="default"/>
          <w:sz w:val="24"/>
          <w:szCs w:val="24"/>
        </w:rPr>
      </w:pPr>
      <w:r>
        <w:rPr>
          <w:rFonts w:hint="eastAsia"/>
          <w:sz w:val="24"/>
          <w:szCs w:val="24"/>
        </w:rPr>
        <w:t>有人说，“长高森源”的崛起是因为站在智慧配电的市场风口。</w:t>
      </w:r>
    </w:p>
    <w:p>
      <w:pPr>
        <w:bidi w:val="0"/>
        <w:rPr>
          <w:rFonts w:hint="default"/>
          <w:sz w:val="24"/>
          <w:szCs w:val="24"/>
        </w:rPr>
      </w:pPr>
      <w:r>
        <w:rPr>
          <w:rFonts w:hint="eastAsia"/>
          <w:sz w:val="24"/>
          <w:szCs w:val="24"/>
        </w:rPr>
        <w:t>这个观点既对，也不对。</w:t>
      </w:r>
    </w:p>
    <w:p>
      <w:pPr>
        <w:bidi w:val="0"/>
        <w:ind w:firstLine="480" w:firstLineChars="200"/>
        <w:rPr>
          <w:rFonts w:hint="default"/>
          <w:sz w:val="24"/>
          <w:szCs w:val="24"/>
        </w:rPr>
      </w:pPr>
      <w:r>
        <w:rPr>
          <w:rFonts w:hint="eastAsia"/>
          <w:sz w:val="24"/>
          <w:szCs w:val="24"/>
        </w:rPr>
        <w:t>所谓对，是因为“长高森源”确实借力于国家电网智慧化改造的宝贵机遇；所谓不对，是面对同样的机遇，只有“长高森源”等少数几家企业把机遇变成了发展。</w:t>
      </w:r>
    </w:p>
    <w:p>
      <w:pPr>
        <w:bidi w:val="0"/>
        <w:ind w:firstLine="480" w:firstLineChars="200"/>
        <w:rPr>
          <w:rFonts w:hint="default"/>
          <w:sz w:val="24"/>
          <w:szCs w:val="24"/>
        </w:rPr>
      </w:pPr>
      <w:r>
        <w:rPr>
          <w:rFonts w:hint="eastAsia"/>
          <w:sz w:val="24"/>
          <w:szCs w:val="24"/>
        </w:rPr>
        <w:t>为什么“长高森源”能把机遇优势转化为发展胜势？除了敏锐的市场嗅觉，最关键的是，敢于大手笔投入研发领先同行并解决客户痛点的产品。如果没有五年前的破釜沉舟，“长高森源”就研发不出国内首创的高压智慧开关，在国家电网向智慧化进军的征途中，也不可能与之同频共振，在智慧配电领域开疆拓土。“人无我有，人有我优，人优我特，人特我精”，这是企业在竞争中胜出的不变法则。</w:t>
      </w:r>
    </w:p>
    <w:p>
      <w:pPr>
        <w:bidi w:val="0"/>
        <w:ind w:firstLine="480" w:firstLineChars="200"/>
        <w:rPr>
          <w:rFonts w:hint="default"/>
          <w:sz w:val="24"/>
          <w:szCs w:val="24"/>
        </w:rPr>
      </w:pPr>
      <w:r>
        <w:rPr>
          <w:rFonts w:hint="eastAsia"/>
          <w:sz w:val="24"/>
          <w:szCs w:val="24"/>
        </w:rPr>
        <w:t>“智”造业的竞争，很大程度上是技术的比拼，谁拥有更先进的技术，谁就拥有更大的市场话语权。所以，不是站在市场的风口就能飞翔，而是要有翅膀才能飞翔，“长高森源”的翅膀，就是善于针对市场痛点进行技术创新，用“智慧”研发解决市场痛点的产品。</w:t>
      </w:r>
    </w:p>
    <w:p>
      <w:pPr>
        <w:bidi w:val="0"/>
        <w:ind w:firstLine="480" w:firstLineChars="200"/>
        <w:rPr>
          <w:rFonts w:hint="default"/>
          <w:sz w:val="24"/>
          <w:szCs w:val="24"/>
        </w:rPr>
      </w:pPr>
      <w:r>
        <w:rPr>
          <w:rFonts w:hint="eastAsia"/>
          <w:sz w:val="24"/>
          <w:szCs w:val="24"/>
        </w:rPr>
        <w:t>洞察需求，技术制胜——这或许才是“长高森源”崛起的真正密码。</w:t>
      </w: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bidi w:val="0"/>
        <w:jc w:val="center"/>
        <w:rPr>
          <w:b/>
          <w:bCs/>
          <w:sz w:val="28"/>
          <w:szCs w:val="28"/>
        </w:rPr>
      </w:pPr>
      <w:r>
        <w:rPr>
          <w:b/>
          <w:bCs/>
          <w:sz w:val="28"/>
          <w:szCs w:val="28"/>
        </w:rPr>
        <w:t>多年稳坐全国“头把交椅” 这家企业的秘诀是全链条创新</w:t>
      </w:r>
    </w:p>
    <w:p>
      <w:pPr>
        <w:bidi w:val="0"/>
        <w:spacing w:line="240" w:lineRule="auto"/>
        <w:jc w:val="center"/>
        <w:rPr>
          <w:rFonts w:hint="eastAsia"/>
          <w:sz w:val="24"/>
          <w:szCs w:val="24"/>
        </w:rPr>
      </w:pPr>
      <w:r>
        <w:rPr>
          <w:rFonts w:hint="eastAsia"/>
          <w:sz w:val="24"/>
          <w:szCs w:val="24"/>
        </w:rPr>
        <w:t>文/图   衡阳日报全媒体记者   邓小山   吴   帅</w:t>
      </w:r>
    </w:p>
    <w:p>
      <w:pPr>
        <w:bidi w:val="0"/>
        <w:spacing w:line="240" w:lineRule="auto"/>
        <w:jc w:val="center"/>
        <w:rPr>
          <w:rFonts w:hint="eastAsia"/>
          <w:sz w:val="24"/>
          <w:szCs w:val="24"/>
        </w:rPr>
      </w:pPr>
    </w:p>
    <w:p>
      <w:pPr>
        <w:bidi w:val="0"/>
        <w:spacing w:line="240" w:lineRule="auto"/>
        <w:rPr>
          <w:rFonts w:hint="eastAsia"/>
          <w:sz w:val="24"/>
          <w:szCs w:val="24"/>
        </w:rPr>
      </w:pPr>
      <w:r>
        <w:rPr>
          <w:rFonts w:hint="eastAsia"/>
          <w:sz w:val="24"/>
          <w:szCs w:val="24"/>
        </w:rPr>
        <w:t>　　春江水暖鸭先知。</w:t>
      </w:r>
    </w:p>
    <w:p>
      <w:pPr>
        <w:bidi w:val="0"/>
        <w:spacing w:line="240" w:lineRule="auto"/>
        <w:rPr>
          <w:rFonts w:hint="eastAsia"/>
          <w:sz w:val="24"/>
          <w:szCs w:val="24"/>
        </w:rPr>
      </w:pPr>
      <w:r>
        <w:rPr>
          <w:rFonts w:hint="eastAsia"/>
          <w:sz w:val="24"/>
          <w:szCs w:val="24"/>
        </w:rPr>
        <w:t>　　“今年订单的暴增让我们率先感受到经济复苏的温度！”3月13日，衡阳合力工业车辆有限公司（下文简称衡阳合力）总经理杨汉才在接受记者采访时感慨。</w:t>
      </w:r>
    </w:p>
    <w:p>
      <w:pPr>
        <w:bidi w:val="0"/>
        <w:spacing w:line="240" w:lineRule="auto"/>
        <w:rPr>
          <w:rFonts w:hint="eastAsia"/>
          <w:sz w:val="24"/>
          <w:szCs w:val="24"/>
        </w:rPr>
      </w:pPr>
      <w:r>
        <w:rPr>
          <w:rFonts w:hint="eastAsia"/>
          <w:sz w:val="24"/>
          <w:szCs w:val="24"/>
        </w:rPr>
        <w:t>　　杨汉才透露，目前订单量远超既定产能，员工加班加点生产，全力实现月产3000台叉车的开门红目标。珠三角大湾区、两湖、闽赣桂等地区叉车需求明显激增；公司依托安徽合力25个省级营销网络及其下属的700多家销售服务网点、7个海外中心，同步开启激增式销售模式，海外市场也强劲增长。</w:t>
      </w:r>
    </w:p>
    <w:p>
      <w:pPr>
        <w:bidi w:val="0"/>
        <w:spacing w:line="240" w:lineRule="auto"/>
        <w:rPr>
          <w:rFonts w:hint="eastAsia"/>
          <w:sz w:val="24"/>
          <w:szCs w:val="24"/>
        </w:rPr>
      </w:pPr>
      <w:r>
        <w:rPr>
          <w:rFonts w:hint="eastAsia"/>
          <w:sz w:val="24"/>
          <w:szCs w:val="24"/>
        </w:rPr>
        <w:t>　　合力叉车是世界工业车辆七强，连续30多年位居国内叉车行业领军地位；衡阳合力生产的防爆叉车多年稳坐国内“头把交椅”。</w:t>
      </w:r>
    </w:p>
    <w:p>
      <w:pPr>
        <w:bidi w:val="0"/>
        <w:spacing w:line="240" w:lineRule="auto"/>
        <w:rPr>
          <w:rFonts w:hint="eastAsia"/>
          <w:sz w:val="24"/>
          <w:szCs w:val="24"/>
        </w:rPr>
      </w:pPr>
      <w:r>
        <w:rPr>
          <w:rFonts w:hint="eastAsia"/>
          <w:sz w:val="24"/>
          <w:szCs w:val="24"/>
        </w:rPr>
        <w:t>　　中国工程机械工业协会3月发布2024年1月工程机械行业主要产品销售快报显示，应用于制造、仓储物流、现代服务等领域的叉车，已经进入高景气时刻，销售同比增长90.4%，成为工程机械行业的一抹亮色。</w:t>
      </w:r>
    </w:p>
    <w:p>
      <w:pPr>
        <w:bidi w:val="0"/>
        <w:spacing w:line="240" w:lineRule="auto"/>
        <w:rPr>
          <w:rFonts w:hint="eastAsia"/>
          <w:sz w:val="24"/>
          <w:szCs w:val="24"/>
        </w:rPr>
      </w:pPr>
      <w:r>
        <w:rPr>
          <w:rFonts w:hint="eastAsia"/>
          <w:sz w:val="24"/>
          <w:szCs w:val="24"/>
        </w:rPr>
        <w:t>　　记者走访位于衡阳高新区的衡阳合力了解到，近年来叉车在各领域多场景的应用越来越广泛。随着国家对在易燃易爆等危险场所安全作业的叉车管控要求越来越高，衡阳合力深刻意识到，只有牢牢抓住科技创新这个“牛鼻子”，通过研发新产品、开辟新赛道、抢占技术制高点，才能长期引领并赋能防爆产业高质量发展。</w:t>
      </w:r>
    </w:p>
    <w:p>
      <w:pPr>
        <w:bidi w:val="0"/>
        <w:spacing w:line="240" w:lineRule="auto"/>
        <w:rPr>
          <w:rFonts w:hint="eastAsia"/>
          <w:sz w:val="24"/>
          <w:szCs w:val="24"/>
        </w:rPr>
      </w:pPr>
      <w:r>
        <w:rPr>
          <w:rFonts w:hint="eastAsia"/>
          <w:sz w:val="24"/>
          <w:szCs w:val="24"/>
        </w:rPr>
        <w:t>　　衡阳合力数十年如一日专注防爆叉车研发，构筑技术高地。通过对AGV导航系统、激光雷达、超声波雷达以及控制系统、通讯系统等防爆安全保护设计，前瞻布局爆炸性危险环境用防爆自动导引车关键技术及防爆AGV产品研发，站稳了防爆叉车的“领头羊”地位，一举成为闻名全国的防爆叉车研制基地。</w:t>
      </w:r>
    </w:p>
    <w:p>
      <w:pPr>
        <w:bidi w:val="0"/>
        <w:spacing w:line="240" w:lineRule="auto"/>
        <w:rPr>
          <w:rFonts w:hint="eastAsia"/>
          <w:sz w:val="24"/>
          <w:szCs w:val="24"/>
        </w:rPr>
      </w:pPr>
      <w:r>
        <w:rPr>
          <w:rFonts w:hint="eastAsia"/>
          <w:sz w:val="24"/>
          <w:szCs w:val="24"/>
        </w:rPr>
        <w:t>　　与此同时，衡阳合力生产的防爆叉车注重原创设计，从发电机到启动马达，从喇叭到灯具……哪怕小到一个倒车蜂鸣器，均运用防爆技术处理，最终成为让人无法轻易复制，而且具有自主知识产权的产品。</w:t>
      </w:r>
    </w:p>
    <w:p>
      <w:pPr>
        <w:bidi w:val="0"/>
        <w:spacing w:line="240" w:lineRule="auto"/>
        <w:rPr>
          <w:rFonts w:hint="eastAsia"/>
          <w:sz w:val="24"/>
          <w:szCs w:val="24"/>
        </w:rPr>
      </w:pPr>
      <w:r>
        <w:rPr>
          <w:rFonts w:hint="eastAsia"/>
          <w:sz w:val="24"/>
          <w:szCs w:val="24"/>
        </w:rPr>
        <w:t>　　因为性能优异，衡阳合力制造的防爆叉车成为“市场宠儿”。2023年，衡阳合力防爆叉车销售再创新高，其中不乏头部企业成为其忠实拥趸，让衡阳合力成为国内防爆叉车行业内不可撼动的“关键先生”。</w:t>
      </w:r>
    </w:p>
    <w:p>
      <w:pPr>
        <w:bidi w:val="0"/>
        <w:spacing w:line="240" w:lineRule="auto"/>
        <w:rPr>
          <w:rFonts w:hint="eastAsia"/>
          <w:sz w:val="24"/>
          <w:szCs w:val="24"/>
        </w:rPr>
      </w:pPr>
      <w:r>
        <w:rPr>
          <w:rFonts w:hint="eastAsia"/>
          <w:sz w:val="24"/>
          <w:szCs w:val="24"/>
        </w:rPr>
        <w:t>　　如今，衡阳合力已拥有授权专利140余项，参与国家标准制定5项，通过省级新产品、新技术认定10项，多项产品荣获国、省、市科学技术进步奖。</w:t>
      </w:r>
    </w:p>
    <w:p>
      <w:pPr>
        <w:bidi w:val="0"/>
        <w:spacing w:line="240" w:lineRule="auto"/>
        <w:rPr>
          <w:rFonts w:hint="eastAsia"/>
          <w:sz w:val="24"/>
          <w:szCs w:val="24"/>
        </w:rPr>
      </w:pPr>
      <w:r>
        <w:rPr>
          <w:rFonts w:hint="eastAsia"/>
          <w:sz w:val="24"/>
          <w:szCs w:val="24"/>
        </w:rPr>
        <w:t>　　在技术创新链条上，衡阳合力从市场需求出发，进一步在电动防爆叉车领域形成“产品技术创新—研发机制创新—数字智能创新—成果转化”的全链条模式，攻克了一系列“卡脖子”技术难题。</w:t>
      </w:r>
    </w:p>
    <w:p>
      <w:pPr>
        <w:bidi w:val="0"/>
        <w:spacing w:line="240" w:lineRule="auto"/>
        <w:rPr>
          <w:rFonts w:hint="eastAsia"/>
          <w:sz w:val="24"/>
          <w:szCs w:val="24"/>
        </w:rPr>
      </w:pPr>
      <w:r>
        <w:rPr>
          <w:rFonts w:hint="eastAsia"/>
          <w:sz w:val="24"/>
          <w:szCs w:val="24"/>
        </w:rPr>
        <w:t>　　这种全链条创新，打破了科研与市场的壁垒，使科技成果快速转化为商品。如今，衡阳合力联合国内多家防爆认证机构，制定了爆炸性环境用防爆锂电池设计规范及试验规范，自主研发的防爆锂电池叉车、防爆锂电池托盘搬运车、防爆锂电池堆垛车等系列产品均通过防爆检测试验并取得国家防爆合格证书。</w:t>
      </w:r>
    </w:p>
    <w:p>
      <w:pPr>
        <w:bidi w:val="0"/>
        <w:spacing w:line="240" w:lineRule="auto"/>
        <w:rPr>
          <w:rFonts w:hint="eastAsia"/>
          <w:sz w:val="24"/>
          <w:szCs w:val="24"/>
        </w:rPr>
      </w:pPr>
      <w:r>
        <w:rPr>
          <w:rFonts w:hint="eastAsia"/>
          <w:sz w:val="24"/>
          <w:szCs w:val="24"/>
        </w:rPr>
        <w:t>　　在衡阳合力的叉车成品库，杨汉才带领记者参观了最新研发的防爆电动叉车。</w:t>
      </w:r>
    </w:p>
    <w:p>
      <w:pPr>
        <w:bidi w:val="0"/>
        <w:spacing w:line="240" w:lineRule="auto"/>
        <w:rPr>
          <w:rFonts w:hint="eastAsia"/>
          <w:sz w:val="24"/>
          <w:szCs w:val="24"/>
        </w:rPr>
      </w:pPr>
      <w:r>
        <w:rPr>
          <w:rFonts w:hint="eastAsia"/>
          <w:sz w:val="24"/>
          <w:szCs w:val="24"/>
        </w:rPr>
        <w:t>　　“防爆电动叉车能安全应用于含有爆炸性气体、粉尘等环境，可广泛适用于石油、化工、制药、轻纺、油漆、颜料、食品加工等作业场所，安全等级系数高。”杨汉才介绍，目前该车辆供不应求。</w:t>
      </w:r>
    </w:p>
    <w:p>
      <w:pPr>
        <w:bidi w:val="0"/>
        <w:spacing w:line="240" w:lineRule="auto"/>
        <w:rPr>
          <w:rFonts w:hint="eastAsia"/>
          <w:sz w:val="24"/>
          <w:szCs w:val="24"/>
        </w:rPr>
      </w:pPr>
      <w:r>
        <w:rPr>
          <w:rFonts w:hint="eastAsia"/>
          <w:sz w:val="24"/>
          <w:szCs w:val="24"/>
        </w:rPr>
        <w:t>　　中国电器工业协会发布《防爆锂离子蓄电池电源安全技术要求》后，衡阳合力看准防爆锂电池叉车这个“空白点”，迅速组建了“防爆锂电池工业车辆研究专项”项目团队，参照国内相关领域标准，制定切实可行的防爆锂电池企业标准、技术路线、制造工艺及检验规范，研发出首款工业车辆防爆锂电池，高效的锂电池使得叉车无需长时间充电或更换电池，可以在繁忙的工作中极大地提高工作效率，该产品从而一举抢占市场先机。当前，防爆锂电池叉车已成为衡阳合力新的经济增长点，实现成果转化超3000万元，并取得可观的经济效益。</w:t>
      </w:r>
    </w:p>
    <w:p>
      <w:pPr>
        <w:bidi w:val="0"/>
        <w:spacing w:line="240" w:lineRule="auto"/>
        <w:rPr>
          <w:rFonts w:hint="eastAsia"/>
          <w:sz w:val="24"/>
          <w:szCs w:val="24"/>
        </w:rPr>
      </w:pPr>
      <w:r>
        <w:rPr>
          <w:rFonts w:hint="eastAsia"/>
          <w:sz w:val="24"/>
          <w:szCs w:val="24"/>
        </w:rPr>
        <w:t>　　技术的创新突破，助推衡阳合力不断积累先进生产力，实现自身业绩快速增长。2024年1—2月，衡阳合力销售台份同比增长30.9%，营收同比增长40.9%，利润总额同比增长122.6%。</w:t>
      </w:r>
    </w:p>
    <w:p>
      <w:pPr>
        <w:bidi w:val="0"/>
        <w:spacing w:line="240" w:lineRule="auto"/>
        <w:rPr>
          <w:rFonts w:hint="eastAsia"/>
          <w:sz w:val="24"/>
          <w:szCs w:val="24"/>
        </w:rPr>
      </w:pPr>
      <w:r>
        <w:rPr>
          <w:rFonts w:hint="eastAsia"/>
          <w:sz w:val="24"/>
          <w:szCs w:val="24"/>
        </w:rPr>
        <w:t>　　锚定方向，决胜未来。衡阳合力专注全链条技术创新，铆足劲、拉满弦，奋力冲刺2024年产防爆叉车销售1000台以上的目标。</w:t>
      </w:r>
    </w:p>
    <w:p>
      <w:pPr>
        <w:bidi w:val="0"/>
        <w:spacing w:line="240" w:lineRule="auto"/>
        <w:rPr>
          <w:rFonts w:hint="eastAsia"/>
          <w:sz w:val="24"/>
          <w:szCs w:val="24"/>
        </w:rPr>
      </w:pPr>
    </w:p>
    <w:p>
      <w:pPr>
        <w:bidi w:val="0"/>
        <w:spacing w:line="240" w:lineRule="auto"/>
        <w:rPr>
          <w:rFonts w:hint="eastAsia"/>
          <w:b/>
          <w:bCs/>
          <w:sz w:val="24"/>
          <w:szCs w:val="24"/>
        </w:rPr>
      </w:pPr>
      <w:r>
        <w:rPr>
          <w:rFonts w:hint="eastAsia"/>
          <w:sz w:val="24"/>
          <w:szCs w:val="24"/>
        </w:rPr>
        <w:t>　</w:t>
      </w:r>
      <w:r>
        <w:rPr>
          <w:rFonts w:hint="eastAsia"/>
          <w:b/>
          <w:bCs/>
          <w:sz w:val="24"/>
          <w:szCs w:val="24"/>
        </w:rPr>
        <w:t>　</w:t>
      </w:r>
    </w:p>
    <w:p>
      <w:pPr>
        <w:bidi w:val="0"/>
        <w:spacing w:line="240" w:lineRule="auto"/>
        <w:rPr>
          <w:rFonts w:hint="eastAsia"/>
          <w:sz w:val="24"/>
          <w:szCs w:val="24"/>
        </w:rPr>
      </w:pPr>
      <w:r>
        <w:rPr>
          <w:rFonts w:hint="eastAsia"/>
          <w:b/>
          <w:bCs/>
          <w:sz w:val="24"/>
          <w:szCs w:val="24"/>
        </w:rPr>
        <w:t>记者手记</w:t>
      </w:r>
    </w:p>
    <w:p>
      <w:pPr>
        <w:bidi w:val="0"/>
        <w:spacing w:line="240" w:lineRule="auto"/>
        <w:rPr>
          <w:rFonts w:hint="eastAsia"/>
          <w:sz w:val="24"/>
          <w:szCs w:val="24"/>
        </w:rPr>
      </w:pPr>
      <w:r>
        <w:rPr>
          <w:rFonts w:hint="eastAsia"/>
          <w:sz w:val="24"/>
          <w:szCs w:val="24"/>
        </w:rPr>
        <w:t>　　顾名思义，防爆叉车是一种专门设计用于在易燃易爆等特殊环境中操作的叉车。它采用先进的防爆技术，确保在极端条件下也不会引发爆炸。</w:t>
      </w:r>
    </w:p>
    <w:p>
      <w:pPr>
        <w:bidi w:val="0"/>
        <w:spacing w:line="240" w:lineRule="auto"/>
        <w:rPr>
          <w:rFonts w:hint="eastAsia"/>
          <w:sz w:val="24"/>
          <w:szCs w:val="24"/>
        </w:rPr>
      </w:pPr>
      <w:r>
        <w:rPr>
          <w:rFonts w:hint="eastAsia"/>
          <w:sz w:val="24"/>
          <w:szCs w:val="24"/>
        </w:rPr>
        <w:t>　　安全重于泰山！衡阳合力直面叉车行业核心痛点，数十年如一日，专注提升防爆叉车安全性能，将防爆措施武装到“牙齿”。</w:t>
      </w:r>
    </w:p>
    <w:p>
      <w:pPr>
        <w:bidi w:val="0"/>
        <w:spacing w:line="240" w:lineRule="auto"/>
        <w:rPr>
          <w:rFonts w:hint="eastAsia"/>
          <w:sz w:val="24"/>
          <w:szCs w:val="24"/>
        </w:rPr>
      </w:pPr>
      <w:r>
        <w:rPr>
          <w:rFonts w:hint="eastAsia"/>
          <w:sz w:val="24"/>
          <w:szCs w:val="24"/>
        </w:rPr>
        <w:t>　　在原创设计上，衡阳合力采用主动防护为主的技术路线，在防爆叉车的火花与温度控制、静电消除等都做到了行业领先；在关键零部件上，从发电机到启动马达，从喇叭到灯具，哪怕小到一个倒车蜂鸣器，均采用具有自主知识产权的防爆技术；在前瞻布局上，衡阳合力通过对防爆激光雷达、超声波雷达、深度相机等关键核心零部件以及防爆AGV导航技术、自动充电技术、车载VCU控制技术、5G和光通讯技术、本安控制技术等防爆技术持续不断的研究，现已成功研发出用于爆炸性气体和粉尘危险环境用防爆自动导引车（AGV）并产业化。</w:t>
      </w:r>
    </w:p>
    <w:p>
      <w:pPr>
        <w:bidi w:val="0"/>
        <w:spacing w:line="240" w:lineRule="auto"/>
        <w:rPr>
          <w:rFonts w:hint="eastAsia"/>
          <w:sz w:val="24"/>
          <w:szCs w:val="24"/>
        </w:rPr>
      </w:pPr>
      <w:r>
        <w:rPr>
          <w:rFonts w:hint="eastAsia"/>
          <w:sz w:val="24"/>
          <w:szCs w:val="24"/>
        </w:rPr>
        <w:t>　　不同危险等级的爆炸性环境需要相应的防爆叉车。衡阳合力以安全为本，致力研发多场景应用防爆叉车，以满足不同客户的需求，成为衡阳合力持续创新的方向。</w:t>
      </w:r>
    </w:p>
    <w:p>
      <w:pPr>
        <w:bidi w:val="0"/>
        <w:spacing w:line="240" w:lineRule="auto"/>
        <w:rPr>
          <w:rFonts w:hint="eastAsia"/>
          <w:sz w:val="24"/>
          <w:szCs w:val="24"/>
        </w:rPr>
      </w:pPr>
      <w:r>
        <w:rPr>
          <w:rFonts w:hint="eastAsia"/>
          <w:sz w:val="24"/>
          <w:szCs w:val="24"/>
        </w:rPr>
        <w:t>　　唯改革者胜，唯创新者强。衡阳合力抬高研发创新坐标，在电动防爆叉车领域成功探索“产品技术创新—研发机制创新—数字智能创新—成果转化”的全链条创新模式，攻克一系列“卡脖子”技术难题，研发出高安全性能、适用于各领域多场景应用的系列防爆叉车。</w:t>
      </w:r>
    </w:p>
    <w:p>
      <w:pPr>
        <w:bidi w:val="0"/>
        <w:spacing w:line="240" w:lineRule="auto"/>
        <w:rPr>
          <w:rFonts w:hint="eastAsia"/>
          <w:sz w:val="24"/>
          <w:szCs w:val="24"/>
        </w:rPr>
      </w:pPr>
      <w:r>
        <w:rPr>
          <w:rFonts w:hint="eastAsia"/>
          <w:sz w:val="24"/>
          <w:szCs w:val="24"/>
        </w:rPr>
        <w:t>　　坚守全链条创新，引领防爆叉车行业高质量发展。或许，这就是衡阳合力防爆叉车多年稳坐国内“头把交椅”的成功秘诀。</w:t>
      </w:r>
    </w:p>
    <w:p>
      <w:pPr>
        <w:bidi w:val="0"/>
        <w:spacing w:line="240" w:lineRule="auto"/>
        <w:rPr>
          <w:sz w:val="24"/>
          <w:szCs w:val="24"/>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jc w:val="both"/>
        <w:rPr>
          <w:rFonts w:hint="default" w:eastAsiaTheme="minorEastAsia"/>
          <w:lang w:val="en-US" w:eastAsia="zh-CN"/>
        </w:rPr>
      </w:pPr>
    </w:p>
    <w:p>
      <w:pPr>
        <w:bidi w:val="0"/>
        <w:jc w:val="center"/>
        <w:rPr>
          <w:b/>
          <w:bCs/>
          <w:sz w:val="28"/>
          <w:szCs w:val="28"/>
        </w:rPr>
      </w:pPr>
      <w:r>
        <w:rPr>
          <w:b/>
          <w:bCs/>
          <w:sz w:val="28"/>
          <w:szCs w:val="28"/>
        </w:rPr>
        <w:t>发展新质生产力，衡阳的“赛道”在哪里？</w:t>
      </w:r>
    </w:p>
    <w:p>
      <w:pPr>
        <w:bidi w:val="0"/>
        <w:spacing w:line="360" w:lineRule="auto"/>
        <w:jc w:val="center"/>
        <w:rPr>
          <w:sz w:val="24"/>
          <w:szCs w:val="24"/>
        </w:rPr>
      </w:pPr>
      <w:r>
        <w:rPr>
          <w:rFonts w:hint="eastAsia"/>
          <w:sz w:val="24"/>
          <w:szCs w:val="24"/>
        </w:rPr>
        <w:t>衡阳日报全媒体记者 王 靖 王 翟</w:t>
      </w:r>
    </w:p>
    <w:p>
      <w:pPr>
        <w:bidi w:val="0"/>
        <w:spacing w:line="240" w:lineRule="auto"/>
        <w:rPr>
          <w:rFonts w:hint="eastAsia"/>
          <w:sz w:val="24"/>
          <w:szCs w:val="24"/>
        </w:rPr>
      </w:pPr>
      <w:r>
        <w:rPr>
          <w:rFonts w:hint="eastAsia"/>
          <w:sz w:val="24"/>
          <w:szCs w:val="24"/>
        </w:rPr>
        <w:t>　　无论你是否留意，一场新的生产力变革正强势开启。</w:t>
      </w:r>
    </w:p>
    <w:p>
      <w:pPr>
        <w:bidi w:val="0"/>
        <w:spacing w:line="240" w:lineRule="auto"/>
        <w:rPr>
          <w:rFonts w:hint="eastAsia"/>
          <w:sz w:val="24"/>
          <w:szCs w:val="24"/>
        </w:rPr>
      </w:pPr>
      <w:r>
        <w:rPr>
          <w:rFonts w:hint="eastAsia"/>
          <w:sz w:val="24"/>
          <w:szCs w:val="24"/>
        </w:rPr>
        <w:t>　　向“新”而行，以“质”致远。发展新质生产力是宏大壮阔的时代课题，既关乎现在，也决定未来，既是一场激烈的“竞速跑”，也是一场持久的“马拉松”。</w:t>
      </w:r>
    </w:p>
    <w:p>
      <w:pPr>
        <w:bidi w:val="0"/>
        <w:spacing w:line="240" w:lineRule="auto"/>
        <w:rPr>
          <w:rFonts w:hint="eastAsia"/>
          <w:sz w:val="24"/>
          <w:szCs w:val="24"/>
        </w:rPr>
      </w:pPr>
      <w:r>
        <w:rPr>
          <w:rFonts w:hint="eastAsia"/>
          <w:sz w:val="24"/>
          <w:szCs w:val="24"/>
        </w:rPr>
        <w:t>　　空天、深海、深地智能制造风起云涌；量子信息、脑机接口、类脑智能技术突飞猛进……身处颠覆性技术层出不穷的当下，衡阳如何借力发力，因地制宜找准“赛道”，绘制“路线图”，跑出“加速度”？</w:t>
      </w:r>
    </w:p>
    <w:p>
      <w:pPr>
        <w:bidi w:val="0"/>
        <w:spacing w:line="240" w:lineRule="auto"/>
        <w:ind w:firstLine="722" w:firstLineChars="300"/>
        <w:jc w:val="center"/>
        <w:rPr>
          <w:rFonts w:hint="eastAsia"/>
          <w:b/>
          <w:bCs/>
          <w:sz w:val="24"/>
          <w:szCs w:val="24"/>
        </w:rPr>
      </w:pPr>
      <w:r>
        <w:rPr>
          <w:rFonts w:hint="eastAsia"/>
          <w:b/>
          <w:bCs/>
          <w:sz w:val="24"/>
          <w:szCs w:val="24"/>
        </w:rPr>
        <w:t>因地制宜，把握新老共生“辩证法”</w:t>
      </w:r>
    </w:p>
    <w:p>
      <w:pPr>
        <w:bidi w:val="0"/>
        <w:spacing w:line="240" w:lineRule="auto"/>
        <w:rPr>
          <w:rFonts w:hint="eastAsia"/>
          <w:sz w:val="24"/>
          <w:szCs w:val="24"/>
        </w:rPr>
      </w:pPr>
      <w:r>
        <w:rPr>
          <w:rFonts w:hint="eastAsia"/>
          <w:sz w:val="24"/>
          <w:szCs w:val="24"/>
        </w:rPr>
        <w:t>　　“因地制宜发展新质生产力”是习近平总书记参加十四届全国人大二次会议江苏代表团审议时作出的重要论述，为各地结合实际推进生产力变革指明了方向、提供了遵循。</w:t>
      </w:r>
    </w:p>
    <w:p>
      <w:pPr>
        <w:bidi w:val="0"/>
        <w:spacing w:line="240" w:lineRule="auto"/>
        <w:rPr>
          <w:rFonts w:hint="eastAsia"/>
          <w:sz w:val="24"/>
          <w:szCs w:val="24"/>
        </w:rPr>
      </w:pPr>
      <w:r>
        <w:rPr>
          <w:rFonts w:hint="eastAsia"/>
          <w:sz w:val="24"/>
          <w:szCs w:val="24"/>
        </w:rPr>
        <w:t>　　“因地制宜”四字，意味着如何发展新质生产力没有全国统一的“标准答案”，需要“一把钥匙开一把锁”，各地要根据自身资源禀赋及产业实际，在大框架中同中求异，探索“地方版本”。</w:t>
      </w:r>
    </w:p>
    <w:p>
      <w:pPr>
        <w:bidi w:val="0"/>
        <w:spacing w:line="240" w:lineRule="auto"/>
        <w:rPr>
          <w:rFonts w:hint="eastAsia"/>
          <w:sz w:val="24"/>
          <w:szCs w:val="24"/>
        </w:rPr>
      </w:pPr>
      <w:r>
        <w:rPr>
          <w:rFonts w:hint="eastAsia"/>
          <w:sz w:val="24"/>
          <w:szCs w:val="24"/>
        </w:rPr>
        <w:t>　　没有现成模式可复制，如何找到适合自己的发展“赛道”？无疑考验眼界和定力。</w:t>
      </w:r>
    </w:p>
    <w:p>
      <w:pPr>
        <w:bidi w:val="0"/>
        <w:spacing w:line="240" w:lineRule="auto"/>
        <w:rPr>
          <w:rFonts w:hint="eastAsia"/>
          <w:sz w:val="24"/>
          <w:szCs w:val="24"/>
        </w:rPr>
      </w:pPr>
      <w:r>
        <w:rPr>
          <w:rFonts w:hint="eastAsia"/>
          <w:sz w:val="24"/>
          <w:szCs w:val="24"/>
        </w:rPr>
        <w:t>　　虽然新质生产力的特点是创新，但并非忽视、放弃传统产业，而是要把握新老共生“辩证法”，喜“新”而不厌“旧”，让新兴产业与传统产业相得益彰，既促进“老树”发“新芽”，又培育“新树”开“新花”。</w:t>
      </w:r>
    </w:p>
    <w:p>
      <w:pPr>
        <w:bidi w:val="0"/>
        <w:spacing w:line="240" w:lineRule="auto"/>
        <w:rPr>
          <w:rFonts w:hint="eastAsia"/>
          <w:sz w:val="24"/>
          <w:szCs w:val="24"/>
        </w:rPr>
      </w:pPr>
      <w:r>
        <w:rPr>
          <w:rFonts w:hint="eastAsia"/>
          <w:sz w:val="24"/>
          <w:szCs w:val="24"/>
        </w:rPr>
        <w:t>　　审视自身，衡阳的“因地制宜”，在于锁定“一核两电三色四新”十大主导产业和14条产业链，推动先进制造业与现代服务业“两业共融”，推动原地倍增、招引新增“两增并举”，实现质的有效提升和量的合理增长。</w:t>
      </w:r>
    </w:p>
    <w:p>
      <w:pPr>
        <w:bidi w:val="0"/>
        <w:spacing w:line="240" w:lineRule="auto"/>
        <w:rPr>
          <w:rFonts w:hint="eastAsia"/>
          <w:sz w:val="24"/>
          <w:szCs w:val="24"/>
        </w:rPr>
      </w:pPr>
      <w:r>
        <w:rPr>
          <w:rFonts w:hint="eastAsia"/>
          <w:sz w:val="24"/>
          <w:szCs w:val="24"/>
        </w:rPr>
        <w:t>　　事实上，“传统”不等于“低端”，看似旧的传统产业，在新技术的“加持”下，能爆发强大竞争力。</w:t>
      </w:r>
    </w:p>
    <w:p>
      <w:pPr>
        <w:bidi w:val="0"/>
        <w:spacing w:line="240" w:lineRule="auto"/>
        <w:rPr>
          <w:rFonts w:hint="eastAsia"/>
          <w:sz w:val="24"/>
          <w:szCs w:val="24"/>
        </w:rPr>
      </w:pPr>
      <w:r>
        <w:rPr>
          <w:rFonts w:hint="eastAsia"/>
          <w:sz w:val="24"/>
          <w:szCs w:val="24"/>
        </w:rPr>
        <w:t>　　烟尘扑面，气味呛人，噪声震耳……提到冶炼厂，人们脑海中可能会浮现这样的画面。</w:t>
      </w:r>
    </w:p>
    <w:p>
      <w:pPr>
        <w:bidi w:val="0"/>
        <w:spacing w:line="240" w:lineRule="auto"/>
        <w:rPr>
          <w:rFonts w:hint="eastAsia"/>
          <w:sz w:val="24"/>
          <w:szCs w:val="24"/>
        </w:rPr>
      </w:pPr>
      <w:r>
        <w:rPr>
          <w:rFonts w:hint="eastAsia"/>
          <w:sz w:val="24"/>
          <w:szCs w:val="24"/>
        </w:rPr>
        <w:t>　　然而，当记者走进“株冶有色”时，看到的场景完全颠覆了对冶炼厂的传统印象。</w:t>
      </w:r>
    </w:p>
    <w:p>
      <w:pPr>
        <w:bidi w:val="0"/>
        <w:spacing w:line="240" w:lineRule="auto"/>
        <w:rPr>
          <w:rFonts w:hint="eastAsia"/>
          <w:sz w:val="24"/>
          <w:szCs w:val="24"/>
        </w:rPr>
      </w:pPr>
      <w:r>
        <w:rPr>
          <w:rFonts w:hint="eastAsia"/>
          <w:sz w:val="24"/>
          <w:szCs w:val="24"/>
        </w:rPr>
        <w:t>　　在智能控制中心，超大电子显示屏高清显示各生产环节工作情况，生产线各数据实时呈现，技术人员鼠标轻点即可在线操控生产设备；在自动化无人生产线，一台台机械臂灵活运转，把工人们从繁重的体力劳动中解放出来……</w:t>
      </w:r>
    </w:p>
    <w:p>
      <w:pPr>
        <w:bidi w:val="0"/>
        <w:spacing w:line="240" w:lineRule="auto"/>
        <w:rPr>
          <w:rFonts w:hint="eastAsia"/>
          <w:sz w:val="24"/>
          <w:szCs w:val="24"/>
        </w:rPr>
      </w:pPr>
      <w:r>
        <w:rPr>
          <w:rFonts w:hint="eastAsia"/>
          <w:sz w:val="24"/>
          <w:szCs w:val="24"/>
        </w:rPr>
        <w:t>　　“株冶有色”从事的是锌冶炼加工，本属于传统行业，但通过“设备大型化、工厂智能化、生产自动化”全流程工艺创新与全链条降本增效后，企业多项关键指标行业领先，成为中国锌冶炼的标杆！</w:t>
      </w:r>
    </w:p>
    <w:p>
      <w:pPr>
        <w:bidi w:val="0"/>
        <w:spacing w:line="240" w:lineRule="auto"/>
        <w:rPr>
          <w:rFonts w:hint="eastAsia"/>
          <w:sz w:val="24"/>
          <w:szCs w:val="24"/>
        </w:rPr>
      </w:pPr>
      <w:r>
        <w:rPr>
          <w:rFonts w:hint="eastAsia"/>
          <w:sz w:val="24"/>
          <w:szCs w:val="24"/>
        </w:rPr>
        <w:t>　　相似的例子不胜枚举：湖南机油泵完成泵体加工智能制造示范线改造后，人力成本节省90%，生产效率提升了20%；南岳电控实施数字化智能改造后，一线生产人员减少一半，生产效率却显著提升……衡阳从“上云、用数、赋智、绿色、安全”五个层面推进企业数字化转型，先后培育孵化了南岳电控数字化车间、水口山5G智慧采矿等一大批数字化转型项目及智能制造平台，推动传统企业加“数”奔跑，迸发勃勃生机。</w:t>
      </w:r>
    </w:p>
    <w:p>
      <w:pPr>
        <w:bidi w:val="0"/>
        <w:spacing w:line="240" w:lineRule="auto"/>
        <w:rPr>
          <w:rFonts w:hint="eastAsia"/>
          <w:sz w:val="24"/>
          <w:szCs w:val="24"/>
        </w:rPr>
      </w:pPr>
      <w:r>
        <w:rPr>
          <w:rFonts w:hint="eastAsia"/>
          <w:sz w:val="24"/>
          <w:szCs w:val="24"/>
        </w:rPr>
        <w:t>　　“以旧换新”行动，为衡阳推动传统产业转型升级创造了新的机遇。</w:t>
      </w:r>
    </w:p>
    <w:p>
      <w:pPr>
        <w:bidi w:val="0"/>
        <w:spacing w:line="240" w:lineRule="auto"/>
        <w:rPr>
          <w:rFonts w:hint="eastAsia"/>
          <w:sz w:val="24"/>
          <w:szCs w:val="24"/>
        </w:rPr>
      </w:pPr>
      <w:r>
        <w:rPr>
          <w:rFonts w:hint="eastAsia"/>
          <w:sz w:val="24"/>
          <w:szCs w:val="24"/>
        </w:rPr>
        <w:t>　　3月13日，国务院印发《推动大规模设备更新和消费品以旧换新行动方案》，工业、建筑、农业、交通、教育、文旅、医疗等领域是以旧换新重点，在这些领域，衡阳均有比较优势。</w:t>
      </w:r>
    </w:p>
    <w:p>
      <w:pPr>
        <w:bidi w:val="0"/>
        <w:spacing w:line="240" w:lineRule="auto"/>
        <w:rPr>
          <w:rFonts w:hint="eastAsia"/>
          <w:sz w:val="24"/>
          <w:szCs w:val="24"/>
        </w:rPr>
      </w:pPr>
      <w:r>
        <w:rPr>
          <w:rFonts w:hint="eastAsia"/>
          <w:sz w:val="24"/>
          <w:szCs w:val="24"/>
        </w:rPr>
        <w:t>　　“比如，衡阳可以做深做透回收循环利用这篇大文章，布局建设一批废钢铁、废有色金属、废旧电池等精深加工产业集群，加快金翼有色、金凯循环等企业创新发展。同时推动更多衡阳优秀本地企业进入国省‘两新’政策产品目录，帮助企业及时、精准、充分享受到‘两新’政策红利，把衡阳打造成为废旧资源循环利用体系建设的标杆城市。”一位业内人士建议。</w:t>
      </w:r>
    </w:p>
    <w:p>
      <w:pPr>
        <w:bidi w:val="0"/>
        <w:spacing w:line="240" w:lineRule="auto"/>
        <w:rPr>
          <w:rFonts w:hint="eastAsia"/>
          <w:sz w:val="24"/>
          <w:szCs w:val="24"/>
        </w:rPr>
      </w:pPr>
      <w:r>
        <w:rPr>
          <w:rFonts w:hint="eastAsia"/>
          <w:sz w:val="24"/>
          <w:szCs w:val="24"/>
        </w:rPr>
        <w:t>　　“新故相推，日生不滞。”除了推动传统产业迈向高端化、智能化、绿色化，衡阳还要积极培育新兴产业，超前布局未来产业，抢占“新蓝海”。</w:t>
      </w:r>
    </w:p>
    <w:p>
      <w:pPr>
        <w:bidi w:val="0"/>
        <w:spacing w:line="240" w:lineRule="auto"/>
        <w:rPr>
          <w:rFonts w:hint="eastAsia"/>
          <w:sz w:val="24"/>
          <w:szCs w:val="24"/>
        </w:rPr>
      </w:pPr>
      <w:r>
        <w:rPr>
          <w:rFonts w:hint="eastAsia"/>
          <w:sz w:val="24"/>
          <w:szCs w:val="24"/>
        </w:rPr>
        <w:t>　　谁抢占了数字“智”高点，谁就能赢得未来。沿衡州大道数字经济走廊，创业中心、创新中心、总部基地数字城市园、区块链园等9大数字产业园区一字排开，519家企业在此汇聚成势，衡阳数字经济方兴未艾。</w:t>
      </w:r>
    </w:p>
    <w:p>
      <w:pPr>
        <w:bidi w:val="0"/>
        <w:spacing w:line="240" w:lineRule="auto"/>
        <w:rPr>
          <w:rFonts w:hint="eastAsia"/>
          <w:sz w:val="24"/>
          <w:szCs w:val="24"/>
        </w:rPr>
      </w:pPr>
      <w:r>
        <w:rPr>
          <w:rFonts w:hint="eastAsia"/>
          <w:sz w:val="24"/>
          <w:szCs w:val="24"/>
        </w:rPr>
        <w:t>　　当前的衡阳，正积极探索数据资产化，推进数据确权，深化数据资产开发应用，释放更多数据资产市场价值，构建活跃繁荣的数据产业生态。</w:t>
      </w:r>
    </w:p>
    <w:p>
      <w:pPr>
        <w:bidi w:val="0"/>
        <w:spacing w:line="240" w:lineRule="auto"/>
        <w:rPr>
          <w:rFonts w:hint="eastAsia"/>
          <w:sz w:val="24"/>
          <w:szCs w:val="24"/>
        </w:rPr>
      </w:pPr>
      <w:r>
        <w:rPr>
          <w:rFonts w:hint="eastAsia"/>
          <w:sz w:val="24"/>
          <w:szCs w:val="24"/>
        </w:rPr>
        <w:t>　　大力发展通用航空产业，打造低空经济新引擎；积极发展特种玻璃、特种陶瓷、先进储能等无机非金属材料；研究上游电解水制氢技术，谋划氢能源产业发展……鸟儿虽善于飞翔，但借助上升的气流，才能抵达更高更远的地方，衡阳培育新兴产业，布局未来产业，正立于时代风口，胸怀未来格局。</w:t>
      </w:r>
    </w:p>
    <w:p>
      <w:pPr>
        <w:bidi w:val="0"/>
        <w:spacing w:line="240" w:lineRule="auto"/>
        <w:rPr>
          <w:rFonts w:hint="eastAsia"/>
          <w:b/>
          <w:bCs/>
          <w:sz w:val="24"/>
          <w:szCs w:val="24"/>
        </w:rPr>
      </w:pPr>
      <w:r>
        <w:rPr>
          <w:rFonts w:hint="eastAsia"/>
          <w:sz w:val="24"/>
          <w:szCs w:val="24"/>
        </w:rPr>
        <w:t>　　</w:t>
      </w:r>
      <w:r>
        <w:rPr>
          <w:rFonts w:hint="eastAsia"/>
          <w:sz w:val="24"/>
          <w:szCs w:val="24"/>
          <w:lang w:val="en-US" w:eastAsia="zh-CN"/>
        </w:rPr>
        <w:t xml:space="preserve">      </w:t>
      </w:r>
      <w:r>
        <w:rPr>
          <w:rFonts w:hint="eastAsia"/>
          <w:b/>
          <w:bCs/>
          <w:sz w:val="24"/>
          <w:szCs w:val="24"/>
        </w:rPr>
        <w:t>“新新”不息，实现更多从“0”到“1”</w:t>
      </w:r>
    </w:p>
    <w:p>
      <w:pPr>
        <w:bidi w:val="0"/>
        <w:spacing w:line="240" w:lineRule="auto"/>
        <w:rPr>
          <w:rFonts w:hint="eastAsia"/>
          <w:sz w:val="24"/>
          <w:szCs w:val="24"/>
        </w:rPr>
      </w:pPr>
      <w:r>
        <w:rPr>
          <w:rFonts w:hint="eastAsia"/>
          <w:sz w:val="24"/>
          <w:szCs w:val="24"/>
        </w:rPr>
        <w:t>　　新质生产力的重要特征是科技创新。</w:t>
      </w:r>
    </w:p>
    <w:p>
      <w:pPr>
        <w:bidi w:val="0"/>
        <w:spacing w:line="240" w:lineRule="auto"/>
        <w:rPr>
          <w:rFonts w:hint="eastAsia"/>
          <w:sz w:val="24"/>
          <w:szCs w:val="24"/>
        </w:rPr>
      </w:pPr>
      <w:r>
        <w:rPr>
          <w:rFonts w:hint="eastAsia"/>
          <w:sz w:val="24"/>
          <w:szCs w:val="24"/>
        </w:rPr>
        <w:t>　　“科技创新”不是形式上的新颖独特，而是要以实践为指向，以结果为导向，渗透于生产力诸要素中，全力提高全要素生产率，使之转化为实际生产能力，从而实现生产力真正意义上的“新”与“质”。</w:t>
      </w:r>
    </w:p>
    <w:p>
      <w:pPr>
        <w:bidi w:val="0"/>
        <w:spacing w:line="240" w:lineRule="auto"/>
        <w:rPr>
          <w:rFonts w:hint="eastAsia"/>
          <w:sz w:val="24"/>
          <w:szCs w:val="24"/>
        </w:rPr>
      </w:pPr>
      <w:r>
        <w:rPr>
          <w:rFonts w:hint="eastAsia"/>
          <w:sz w:val="24"/>
          <w:szCs w:val="24"/>
        </w:rPr>
        <w:t>　　实践表明，着眼于解决产业“痛点”的科技创新，更具生命力和可持续发展的可能性。</w:t>
      </w:r>
    </w:p>
    <w:p>
      <w:pPr>
        <w:bidi w:val="0"/>
        <w:spacing w:line="240" w:lineRule="auto"/>
        <w:rPr>
          <w:rFonts w:hint="eastAsia"/>
          <w:sz w:val="24"/>
          <w:szCs w:val="24"/>
        </w:rPr>
      </w:pPr>
      <w:r>
        <w:rPr>
          <w:rFonts w:hint="eastAsia"/>
          <w:sz w:val="24"/>
          <w:szCs w:val="24"/>
        </w:rPr>
        <w:t>　　五年破釜沉舟，“长高森源”研发团队在全国率先研发出高压智慧开关柜，解决了智慧电网建设高压智慧开关柜的市场“痛点”，迅速成长为全省中压开关领域的龙头企业。</w:t>
      </w:r>
    </w:p>
    <w:p>
      <w:pPr>
        <w:bidi w:val="0"/>
        <w:spacing w:line="240" w:lineRule="auto"/>
        <w:rPr>
          <w:rFonts w:hint="eastAsia"/>
          <w:sz w:val="24"/>
          <w:szCs w:val="24"/>
        </w:rPr>
      </w:pPr>
      <w:r>
        <w:rPr>
          <w:rFonts w:hint="eastAsia"/>
          <w:sz w:val="24"/>
          <w:szCs w:val="24"/>
        </w:rPr>
        <w:t>　　在众多企业陷于锂电池储能市场血拼时，“衡阳瑞达电源”敏锐发现了储能电站电池安全性的迫切需求，另辟蹊径研发无酸固态铅电池，成功实现换道超车，领跑储能电站电池市场，正向全球最大的OPzV固态铅电池及储能电站系统集成装配制造基地目标迈进。</w:t>
      </w:r>
    </w:p>
    <w:p>
      <w:pPr>
        <w:bidi w:val="0"/>
        <w:spacing w:line="240" w:lineRule="auto"/>
        <w:rPr>
          <w:rFonts w:hint="eastAsia"/>
          <w:sz w:val="24"/>
          <w:szCs w:val="24"/>
        </w:rPr>
      </w:pPr>
      <w:r>
        <w:rPr>
          <w:rFonts w:hint="eastAsia"/>
          <w:sz w:val="24"/>
          <w:szCs w:val="24"/>
        </w:rPr>
        <w:t>　　这些企业的成功案例，无不诠释着科技创新与市场、供给与需求的辩证关系。正是解决产业“痛点”的科技创新成果的持续涌现，才孕育了一个又一个新的增长点。</w:t>
      </w:r>
    </w:p>
    <w:p>
      <w:pPr>
        <w:bidi w:val="0"/>
        <w:spacing w:line="240" w:lineRule="auto"/>
        <w:rPr>
          <w:rFonts w:hint="eastAsia"/>
          <w:sz w:val="24"/>
          <w:szCs w:val="24"/>
        </w:rPr>
      </w:pPr>
      <w:r>
        <w:rPr>
          <w:rFonts w:hint="eastAsia"/>
          <w:sz w:val="24"/>
          <w:szCs w:val="24"/>
        </w:rPr>
        <w:t>　　科技创新不能依赖“拿来主义”，而要在关键核心技术上不断突破，既要有“高原”，更要有“高峰”。</w:t>
      </w:r>
    </w:p>
    <w:p>
      <w:pPr>
        <w:bidi w:val="0"/>
        <w:spacing w:line="240" w:lineRule="auto"/>
        <w:rPr>
          <w:rFonts w:hint="eastAsia"/>
          <w:sz w:val="24"/>
          <w:szCs w:val="24"/>
        </w:rPr>
      </w:pPr>
      <w:r>
        <w:rPr>
          <w:rFonts w:hint="eastAsia"/>
          <w:sz w:val="24"/>
          <w:szCs w:val="24"/>
        </w:rPr>
        <w:t>　　在强调科技创新这个“发展新质生产力的核心要素”时，习近平总书记使用“特别是”的句式着重强调了两个关键词：“原创性”和“颠覆性”，这既是“从0到1”的原创性突破，也是“从1到N”的颠覆性跨越。</w:t>
      </w:r>
    </w:p>
    <w:p>
      <w:pPr>
        <w:bidi w:val="0"/>
        <w:spacing w:line="240" w:lineRule="auto"/>
        <w:rPr>
          <w:rFonts w:hint="eastAsia"/>
          <w:sz w:val="24"/>
          <w:szCs w:val="24"/>
        </w:rPr>
      </w:pPr>
      <w:r>
        <w:rPr>
          <w:rFonts w:hint="eastAsia"/>
          <w:sz w:val="24"/>
          <w:szCs w:val="24"/>
        </w:rPr>
        <w:t>　　氮化硅的制造技术原本被国外垄断。“凯新科技”十年磨一剑，突破技术“锁喉”难题，生产出100%自主知识产权、纯度达99%以上的氮化硅。因为产品性能指标稳定，受到市场热捧，呈批量替代进口之势，在光伏领域的应用成为全国“隐形冠军”。</w:t>
      </w:r>
    </w:p>
    <w:p>
      <w:pPr>
        <w:bidi w:val="0"/>
        <w:spacing w:line="240" w:lineRule="auto"/>
        <w:rPr>
          <w:rFonts w:hint="eastAsia"/>
          <w:sz w:val="24"/>
          <w:szCs w:val="24"/>
        </w:rPr>
      </w:pPr>
      <w:r>
        <w:rPr>
          <w:rFonts w:hint="eastAsia"/>
          <w:sz w:val="24"/>
          <w:szCs w:val="24"/>
        </w:rPr>
        <w:t>　　科技创新还要发挥龙头企业在产业链中的融通带动作用，为构筑产业科技高地提供强大支撑。</w:t>
      </w:r>
    </w:p>
    <w:p>
      <w:pPr>
        <w:bidi w:val="0"/>
        <w:spacing w:line="240" w:lineRule="auto"/>
        <w:rPr>
          <w:rFonts w:hint="eastAsia"/>
          <w:sz w:val="24"/>
          <w:szCs w:val="24"/>
        </w:rPr>
      </w:pPr>
      <w:r>
        <w:rPr>
          <w:rFonts w:hint="eastAsia"/>
          <w:sz w:val="24"/>
          <w:szCs w:val="24"/>
        </w:rPr>
        <w:t>　　以输变电产业为例，虽然在超高压变压器领域中，以衡阳特变为龙头的衡阳输变电产业创造了多项世界第一和全国第一，但科技创新仍需靶向发力，建设国家级输变电装备智能制造创新平台。</w:t>
      </w:r>
    </w:p>
    <w:p>
      <w:pPr>
        <w:bidi w:val="0"/>
        <w:spacing w:line="240" w:lineRule="auto"/>
        <w:rPr>
          <w:rFonts w:hint="eastAsia"/>
          <w:sz w:val="24"/>
          <w:szCs w:val="24"/>
        </w:rPr>
      </w:pPr>
      <w:r>
        <w:rPr>
          <w:rFonts w:hint="eastAsia"/>
          <w:sz w:val="24"/>
          <w:szCs w:val="24"/>
        </w:rPr>
        <w:t>　　如何靶向发力？市政府参事晏华衡建议，采取“政府引导、市场化运作、企业化管理”运营模式，在衡阳建设院士领衔的世界一流、国家级输变电创新中心；支持输变电龙头企业建设国家重点实验室、国家技术创新中心、国家产业创新中心、国家工程实验室、国家装备创新中心等重大创新平台；筹建国家输变电装备计量测试中心和国家输变电装备质量标准实验室等，助力衡阳输变电产业打造科技创新高地。</w:t>
      </w:r>
    </w:p>
    <w:p>
      <w:pPr>
        <w:bidi w:val="0"/>
        <w:spacing w:line="240" w:lineRule="auto"/>
        <w:rPr>
          <w:rFonts w:hint="eastAsia"/>
          <w:sz w:val="24"/>
          <w:szCs w:val="24"/>
        </w:rPr>
      </w:pPr>
      <w:r>
        <w:rPr>
          <w:rFonts w:hint="eastAsia"/>
          <w:sz w:val="24"/>
          <w:szCs w:val="24"/>
        </w:rPr>
        <w:t>　　唯有“新新”不息，方能生生不息。科技创新永远在路上，没有句号，只有逗号，没有最好，只有更好。</w:t>
      </w:r>
    </w:p>
    <w:p>
      <w:pPr>
        <w:bidi w:val="0"/>
        <w:spacing w:line="240" w:lineRule="auto"/>
        <w:jc w:val="center"/>
        <w:rPr>
          <w:rFonts w:hint="eastAsia"/>
          <w:b/>
          <w:bCs/>
          <w:sz w:val="24"/>
          <w:szCs w:val="24"/>
        </w:rPr>
      </w:pPr>
      <w:r>
        <w:rPr>
          <w:rFonts w:hint="eastAsia"/>
          <w:b/>
          <w:bCs/>
          <w:sz w:val="24"/>
          <w:szCs w:val="24"/>
        </w:rPr>
        <w:t>机制创新，打通科研与应用的“任督二脉”</w:t>
      </w:r>
    </w:p>
    <w:p>
      <w:pPr>
        <w:bidi w:val="0"/>
        <w:spacing w:line="240" w:lineRule="auto"/>
        <w:rPr>
          <w:rFonts w:hint="eastAsia"/>
          <w:sz w:val="24"/>
          <w:szCs w:val="24"/>
        </w:rPr>
      </w:pPr>
      <w:r>
        <w:rPr>
          <w:rFonts w:hint="eastAsia"/>
          <w:sz w:val="24"/>
          <w:szCs w:val="24"/>
        </w:rPr>
        <w:t>　　人才，是新质生产力的关键资源。</w:t>
      </w:r>
    </w:p>
    <w:p>
      <w:pPr>
        <w:bidi w:val="0"/>
        <w:spacing w:line="240" w:lineRule="auto"/>
        <w:rPr>
          <w:rFonts w:hint="eastAsia"/>
          <w:sz w:val="24"/>
          <w:szCs w:val="24"/>
        </w:rPr>
      </w:pPr>
      <w:r>
        <w:rPr>
          <w:rFonts w:hint="eastAsia"/>
          <w:sz w:val="24"/>
          <w:szCs w:val="24"/>
        </w:rPr>
        <w:t>　　创新之道，唯在得人。新质生产力有别于传统生产力，涉及领域新、技术含量高，以科技创新为驱动力，以高层次人才为支撑。所以，衡阳要发展新质生产力，首先必须打造顶尖人才“高地”。</w:t>
      </w:r>
    </w:p>
    <w:p>
      <w:pPr>
        <w:bidi w:val="0"/>
        <w:spacing w:line="240" w:lineRule="auto"/>
        <w:rPr>
          <w:rFonts w:hint="eastAsia"/>
          <w:sz w:val="24"/>
          <w:szCs w:val="24"/>
        </w:rPr>
      </w:pPr>
      <w:r>
        <w:rPr>
          <w:rFonts w:hint="eastAsia"/>
          <w:sz w:val="24"/>
          <w:szCs w:val="24"/>
        </w:rPr>
        <w:t>　　但不靠海、不靠边的衡阳，相对沿海发达地区，引进高层次人才并无明显优势，怎样才能出奇制胜，让顶尖人才为衡阳贡献智慧和力量？</w:t>
      </w:r>
    </w:p>
    <w:p>
      <w:pPr>
        <w:bidi w:val="0"/>
        <w:spacing w:line="240" w:lineRule="auto"/>
        <w:rPr>
          <w:rFonts w:hint="eastAsia"/>
          <w:sz w:val="24"/>
          <w:szCs w:val="24"/>
        </w:rPr>
      </w:pPr>
      <w:r>
        <w:rPr>
          <w:rFonts w:hint="eastAsia"/>
          <w:sz w:val="24"/>
          <w:szCs w:val="24"/>
        </w:rPr>
        <w:t>　　不少业内人士注意到，一方面，高校有丰富的科研成果及科研力量，但科研成果要转化成为产品，至少需经过技术评估、市场分析、资金筹措、产品生产、市场推广等七大步骤，而这并不是高校科研团队擅长的领域；另一方面，衡阳各园区企业有雄厚的资金、现代化厂房设备、强大的生产队伍、销售网络及灵敏的市场嗅觉，但创新和研发能力不足，又成为困扰广大企业发展的“科创软肋”。</w:t>
      </w:r>
    </w:p>
    <w:p>
      <w:pPr>
        <w:bidi w:val="0"/>
        <w:spacing w:line="240" w:lineRule="auto"/>
        <w:rPr>
          <w:rFonts w:hint="eastAsia"/>
          <w:sz w:val="24"/>
          <w:szCs w:val="24"/>
        </w:rPr>
      </w:pPr>
      <w:r>
        <w:rPr>
          <w:rFonts w:hint="eastAsia"/>
          <w:sz w:val="24"/>
          <w:szCs w:val="24"/>
        </w:rPr>
        <w:t>　　因此，如能在高校和衡阳各园区及企业之间架起双向奔赴的合作桥梁，打通从科研到应用的“任督二脉”，将既促进“实验室”里的样品变成大市场里的商品，又帮助企业实现新产品、新技术、新产业的突破，让更多科研成果从“书架”走上“货架”。</w:t>
      </w:r>
    </w:p>
    <w:p>
      <w:pPr>
        <w:bidi w:val="0"/>
        <w:spacing w:line="240" w:lineRule="auto"/>
        <w:rPr>
          <w:rFonts w:hint="eastAsia"/>
          <w:sz w:val="24"/>
          <w:szCs w:val="24"/>
        </w:rPr>
      </w:pPr>
      <w:r>
        <w:rPr>
          <w:rFonts w:hint="eastAsia"/>
          <w:sz w:val="24"/>
          <w:szCs w:val="24"/>
        </w:rPr>
        <w:t>　　新区的“UP”模式，无疑值得进一步推广。</w:t>
      </w:r>
    </w:p>
    <w:p>
      <w:pPr>
        <w:bidi w:val="0"/>
        <w:spacing w:line="240" w:lineRule="auto"/>
        <w:rPr>
          <w:rFonts w:hint="eastAsia"/>
          <w:sz w:val="24"/>
          <w:szCs w:val="24"/>
        </w:rPr>
      </w:pPr>
      <w:r>
        <w:rPr>
          <w:rFonts w:hint="eastAsia"/>
          <w:sz w:val="24"/>
          <w:szCs w:val="24"/>
        </w:rPr>
        <w:t>　　“UP”，是英文University&amp;Park的缩写，即高校和园区合力，协同开展高端人才引进、科创团队落地工作，这是高新区直面“痛点”的全国首创，目的在于引进高层次人才，推动高校优质科研成果在衡转化，打造高新区“科创高地”。</w:t>
      </w:r>
    </w:p>
    <w:p>
      <w:pPr>
        <w:bidi w:val="0"/>
        <w:spacing w:line="240" w:lineRule="auto"/>
        <w:rPr>
          <w:rFonts w:hint="eastAsia"/>
          <w:sz w:val="24"/>
          <w:szCs w:val="24"/>
        </w:rPr>
      </w:pPr>
      <w:r>
        <w:rPr>
          <w:rFonts w:hint="eastAsia"/>
          <w:sz w:val="24"/>
          <w:szCs w:val="24"/>
        </w:rPr>
        <w:t>　　“UP”模式的精髓在于，建立了“不求人才为我所有，但求人才为我所用”的引才新机制，从建立产学研关系的高等院校、科研院所，采取聘用、兼职等形式不拘一格引人才，无论是“拎包入驻、整体引进”，还是“企业出题、高校解题”，抑或是“技术入股、基金支持”，方式灵活多变，激发了人才“产出效应”。</w:t>
      </w:r>
    </w:p>
    <w:p>
      <w:pPr>
        <w:bidi w:val="0"/>
        <w:spacing w:line="240" w:lineRule="auto"/>
        <w:rPr>
          <w:rFonts w:hint="eastAsia"/>
          <w:sz w:val="24"/>
          <w:szCs w:val="24"/>
        </w:rPr>
      </w:pPr>
      <w:r>
        <w:rPr>
          <w:rFonts w:hint="eastAsia"/>
          <w:sz w:val="24"/>
          <w:szCs w:val="24"/>
        </w:rPr>
        <w:t>　　北航张春熹团队、上海交大刘河洲团队、酷哇机器人何弢团队……目前，高新区已引进落地高层次创新创业人才团队5个，引进湖南省“5个100”科技创新人才14位，签约引进59名海归博士，引进关联企业25家，培育高新技术企业12家。</w:t>
      </w:r>
    </w:p>
    <w:p>
      <w:pPr>
        <w:bidi w:val="0"/>
        <w:spacing w:line="240" w:lineRule="auto"/>
        <w:rPr>
          <w:rFonts w:hint="eastAsia"/>
          <w:sz w:val="24"/>
          <w:szCs w:val="24"/>
        </w:rPr>
      </w:pPr>
      <w:r>
        <w:rPr>
          <w:rFonts w:hint="eastAsia"/>
          <w:sz w:val="24"/>
          <w:szCs w:val="24"/>
        </w:rPr>
        <w:t>　　记者了解到，衡阳将继续实施“人才雁阵”计划，深入落实《衡阳市外国专家人才引进支持项目实施办法》等政策，健全完善落实人才引育留用“1+N”政策体系，推动各类创新人才向重点企业、重点产业、重点园区集聚。</w:t>
      </w:r>
    </w:p>
    <w:p>
      <w:pPr>
        <w:bidi w:val="0"/>
        <w:spacing w:line="240" w:lineRule="auto"/>
        <w:rPr>
          <w:rFonts w:hint="eastAsia"/>
          <w:sz w:val="24"/>
          <w:szCs w:val="24"/>
        </w:rPr>
      </w:pPr>
      <w:r>
        <w:rPr>
          <w:rFonts w:hint="eastAsia"/>
          <w:sz w:val="24"/>
          <w:szCs w:val="24"/>
        </w:rPr>
        <w:t>　　“衡阳还应树立大人才观和人才链思想，狠抓高素质干部队伍、高水平创新人才和企业家队伍、高素质劳动者‘三高’队伍，推动创新链、产业链、资金链与人才链深度融合。”南华大学经济管理学院原院长、博士生导师、教授肖东生建议。</w:t>
      </w:r>
    </w:p>
    <w:p>
      <w:pPr>
        <w:bidi w:val="0"/>
        <w:spacing w:line="240" w:lineRule="auto"/>
        <w:rPr>
          <w:rFonts w:hint="eastAsia"/>
          <w:sz w:val="24"/>
          <w:szCs w:val="24"/>
        </w:rPr>
      </w:pPr>
      <w:r>
        <w:rPr>
          <w:rFonts w:hint="eastAsia"/>
          <w:sz w:val="24"/>
          <w:szCs w:val="24"/>
        </w:rPr>
        <w:t>　　尊重人才、激励人才、服务人才、成就人才，衡阳将形成万马奔腾、龙腾虎跃的生动局面，为发展新质生产力注入源源不绝的人才动力。</w:t>
      </w:r>
    </w:p>
    <w:p>
      <w:pPr>
        <w:bidi w:val="0"/>
        <w:spacing w:line="240" w:lineRule="auto"/>
        <w:rPr>
          <w:rFonts w:hint="eastAsia"/>
          <w:sz w:val="24"/>
          <w:szCs w:val="24"/>
        </w:rPr>
      </w:pPr>
      <w:r>
        <w:rPr>
          <w:rFonts w:hint="eastAsia"/>
          <w:sz w:val="24"/>
          <w:szCs w:val="24"/>
        </w:rPr>
        <w:t>　　挺立潮头，方知风高浪急；登高望远，才见壮阔河山。</w:t>
      </w:r>
    </w:p>
    <w:p>
      <w:pPr>
        <w:bidi w:val="0"/>
        <w:spacing w:line="240" w:lineRule="auto"/>
        <w:rPr>
          <w:rFonts w:hint="eastAsia"/>
          <w:sz w:val="24"/>
          <w:szCs w:val="24"/>
        </w:rPr>
      </w:pPr>
      <w:r>
        <w:rPr>
          <w:rFonts w:hint="eastAsia"/>
          <w:sz w:val="24"/>
          <w:szCs w:val="24"/>
        </w:rPr>
        <w:t>　　“新”兴向荣，“质”地有声。在推进区域中心化的征途中，衡阳正御势前行。</w:t>
      </w:r>
    </w:p>
    <w:p>
      <w:pPr>
        <w:bidi w:val="0"/>
        <w:spacing w:line="240" w:lineRule="auto"/>
        <w:rPr>
          <w:rFonts w:hint="eastAsia"/>
          <w:sz w:val="24"/>
          <w:szCs w:val="24"/>
        </w:rPr>
      </w:pPr>
      <w:r>
        <w:rPr>
          <w:rFonts w:hint="eastAsia"/>
          <w:sz w:val="24"/>
          <w:szCs w:val="24"/>
        </w:rPr>
        <w:t>　　未来已来，远方不远。</w:t>
      </w:r>
    </w:p>
    <w:p>
      <w:pPr>
        <w:bidi w:val="0"/>
        <w:spacing w:line="240" w:lineRule="auto"/>
        <w:rPr>
          <w:sz w:val="24"/>
          <w:szCs w:val="24"/>
        </w:rPr>
      </w:pPr>
    </w:p>
    <w:p>
      <w:pPr>
        <w:jc w:val="both"/>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9D9FC"/>
    <w:multiLevelType w:val="singleLevel"/>
    <w:tmpl w:val="01A9D9FC"/>
    <w:lvl w:ilvl="0" w:tentative="0">
      <w:start w:val="1"/>
      <w:numFmt w:val="decimal"/>
      <w:lvlText w:val="%1."/>
      <w:lvlJc w:val="left"/>
      <w:pPr>
        <w:tabs>
          <w:tab w:val="left" w:pos="312"/>
        </w:tabs>
      </w:pPr>
      <w:rPr>
        <w:rFont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52A27"/>
    <w:rsid w:val="091C32AD"/>
    <w:rsid w:val="0CF37550"/>
    <w:rsid w:val="14E2139E"/>
    <w:rsid w:val="1E43227A"/>
    <w:rsid w:val="1FFB16E2"/>
    <w:rsid w:val="20912382"/>
    <w:rsid w:val="2AFD06C7"/>
    <w:rsid w:val="47522926"/>
    <w:rsid w:val="55FFE6DA"/>
    <w:rsid w:val="57FBDE3E"/>
    <w:rsid w:val="59D0171E"/>
    <w:rsid w:val="66105AC4"/>
    <w:rsid w:val="7BFF62E3"/>
    <w:rsid w:val="7CFDDF24"/>
    <w:rsid w:val="7F7FB724"/>
    <w:rsid w:val="AEDD1D65"/>
    <w:rsid w:val="B1FFC778"/>
    <w:rsid w:val="D7D798E6"/>
    <w:rsid w:val="FBFF8FB4"/>
    <w:rsid w:val="FD7F667F"/>
    <w:rsid w:val="FDFF58AB"/>
    <w:rsid w:val="FFD7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qFormat/>
    <w:uiPriority w:val="99"/>
    <w:pPr>
      <w:tabs>
        <w:tab w:val="center" w:pos="4153"/>
        <w:tab w:val="right" w:pos="8306"/>
      </w:tabs>
      <w:snapToGrid w:val="0"/>
      <w:spacing w:line="240" w:lineRule="auto"/>
      <w:jc w:val="left"/>
    </w:pPr>
    <w:rPr>
      <w:rFonts w:ascii="Times New Roman" w:eastAsia="宋体"/>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847</Words>
  <Characters>936</Characters>
  <Lines>0</Lines>
  <Paragraphs>0</Paragraphs>
  <TotalTime>0</TotalTime>
  <ScaleCrop>false</ScaleCrop>
  <LinksUpToDate>false</LinksUpToDate>
  <CharactersWithSpaces>980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2025-02-20T03:06:00Z</dcterms:created>
  <dc:creator>Administrator</dc:creator>
  <cp:lastModifiedBy>kylin</cp:lastModifiedBy>
  <dcterms:modified xsi:type="dcterms:W3CDTF">2025-03-05T15:55:38Z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eyJoZGlkIjoiOWUzOWE1M2ZhODkyMGQ0Zjc5ZjUxZDUzMDc2MzM2ZDIiLCJ1c2VySWQiOiI1MzYxMDY4MjYifQ==</vt:lpwstr>
  </property>
  <property fmtid="{D5CDD505-2E9C-101B-9397-08002B2CF9AE}" pid="4" name="ICV">
    <vt:lpwstr>193223E6C52C4BD1839E2AD00A731235_13</vt:lpwstr>
  </property>
</Properties>
</file>