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Lines="50" w:line="600" w:lineRule="exact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湖南新闻奖参评作品推荐表</w:t>
      </w:r>
    </w:p>
    <w:tbl>
      <w:tblPr>
        <w:tblStyle w:val="2"/>
        <w:tblW w:w="9624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50"/>
        <w:gridCol w:w="1377"/>
        <w:gridCol w:w="1302"/>
        <w:gridCol w:w="278"/>
        <w:gridCol w:w="577"/>
        <w:gridCol w:w="560"/>
        <w:gridCol w:w="796"/>
        <w:gridCol w:w="32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4" w:hRule="exact"/>
          <w:jc w:val="center"/>
        </w:trPr>
        <w:tc>
          <w:tcPr>
            <w:tcW w:w="1450" w:type="dxa"/>
            <w:vMerge w:val="restart"/>
            <w:vAlign w:val="center"/>
          </w:tcPr>
          <w:p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作品标题</w:t>
            </w:r>
          </w:p>
        </w:tc>
        <w:tc>
          <w:tcPr>
            <w:tcW w:w="3534" w:type="dxa"/>
            <w:gridSpan w:val="4"/>
            <w:vMerge w:val="restart"/>
            <w:vAlign w:val="center"/>
          </w:tcPr>
          <w:p>
            <w:pPr>
              <w:spacing w:line="260" w:lineRule="exact"/>
              <w:jc w:val="both"/>
              <w:rPr>
                <w:rFonts w:hint="eastAsia" w:ascii="华文中宋" w:hAnsi="华文中宋" w:eastAsia="仿宋"/>
                <w:color w:val="000000"/>
                <w:sz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</w:rPr>
              <w:t>七旬老粮站两年“生”出6家企业</w:t>
            </w:r>
          </w:p>
        </w:tc>
        <w:tc>
          <w:tcPr>
            <w:tcW w:w="1356" w:type="dxa"/>
            <w:gridSpan w:val="2"/>
            <w:vAlign w:val="center"/>
          </w:tcPr>
          <w:p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参评项目</w:t>
            </w:r>
          </w:p>
        </w:tc>
        <w:tc>
          <w:tcPr>
            <w:tcW w:w="3284" w:type="dxa"/>
            <w:vAlign w:val="center"/>
          </w:tcPr>
          <w:p>
            <w:pPr>
              <w:spacing w:line="260" w:lineRule="exact"/>
              <w:jc w:val="center"/>
              <w:rPr>
                <w:rFonts w:hint="eastAsia" w:ascii="仿宋" w:hAnsi="仿宋" w:eastAsia="仿宋" w:cs="仿宋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eastAsia="仿宋" w:cs="仿宋_GB2312"/>
                <w:color w:val="000000"/>
                <w:sz w:val="21"/>
                <w:szCs w:val="21"/>
                <w:lang w:eastAsia="zh-CN"/>
              </w:rPr>
              <w:t>消息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8" w:hRule="exact"/>
          <w:jc w:val="center"/>
        </w:trPr>
        <w:tc>
          <w:tcPr>
            <w:tcW w:w="1450" w:type="dxa"/>
            <w:vMerge w:val="continue"/>
            <w:vAlign w:val="center"/>
          </w:tcPr>
          <w:p>
            <w:pPr>
              <w:spacing w:line="380" w:lineRule="exact"/>
              <w:ind w:firstLine="560"/>
              <w:rPr>
                <w:rFonts w:ascii="华文中宋" w:hAnsi="华文中宋" w:eastAsia="华文中宋"/>
                <w:color w:val="000000"/>
                <w:sz w:val="28"/>
              </w:rPr>
            </w:pPr>
          </w:p>
        </w:tc>
        <w:tc>
          <w:tcPr>
            <w:tcW w:w="3534" w:type="dxa"/>
            <w:gridSpan w:val="4"/>
            <w:vMerge w:val="continue"/>
            <w:vAlign w:val="center"/>
          </w:tcPr>
          <w:p>
            <w:pPr>
              <w:spacing w:line="380" w:lineRule="exact"/>
              <w:ind w:firstLine="560"/>
              <w:rPr>
                <w:rFonts w:ascii="华文中宋" w:hAnsi="华文中宋" w:eastAsia="华文中宋"/>
                <w:color w:val="000000"/>
                <w:sz w:val="28"/>
              </w:rPr>
            </w:pPr>
          </w:p>
        </w:tc>
        <w:tc>
          <w:tcPr>
            <w:tcW w:w="1356" w:type="dxa"/>
            <w:gridSpan w:val="2"/>
            <w:vAlign w:val="center"/>
          </w:tcPr>
          <w:p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体裁</w:t>
            </w:r>
          </w:p>
        </w:tc>
        <w:tc>
          <w:tcPr>
            <w:tcW w:w="3284" w:type="dxa"/>
            <w:vAlign w:val="center"/>
          </w:tcPr>
          <w:p>
            <w:pPr>
              <w:spacing w:line="260" w:lineRule="exact"/>
              <w:jc w:val="center"/>
              <w:rPr>
                <w:rFonts w:hint="eastAsia" w:hAnsi="仿宋" w:eastAsia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报纸消息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12" w:hRule="exact"/>
          <w:jc w:val="center"/>
        </w:trPr>
        <w:tc>
          <w:tcPr>
            <w:tcW w:w="1450" w:type="dxa"/>
            <w:vMerge w:val="continue"/>
            <w:vAlign w:val="center"/>
          </w:tcPr>
          <w:p>
            <w:pPr>
              <w:spacing w:line="380" w:lineRule="exact"/>
              <w:ind w:firstLine="560"/>
              <w:rPr>
                <w:rFonts w:ascii="华文中宋" w:hAnsi="华文中宋" w:eastAsia="华文中宋"/>
                <w:color w:val="000000"/>
                <w:sz w:val="28"/>
              </w:rPr>
            </w:pPr>
          </w:p>
        </w:tc>
        <w:tc>
          <w:tcPr>
            <w:tcW w:w="3534" w:type="dxa"/>
            <w:gridSpan w:val="4"/>
            <w:vMerge w:val="continue"/>
            <w:vAlign w:val="center"/>
          </w:tcPr>
          <w:p>
            <w:pPr>
              <w:spacing w:line="380" w:lineRule="exact"/>
              <w:ind w:firstLine="560"/>
              <w:rPr>
                <w:rFonts w:ascii="华文中宋" w:hAnsi="华文中宋" w:eastAsia="华文中宋"/>
                <w:color w:val="000000"/>
                <w:sz w:val="28"/>
              </w:rPr>
            </w:pPr>
          </w:p>
        </w:tc>
        <w:tc>
          <w:tcPr>
            <w:tcW w:w="1356" w:type="dxa"/>
            <w:gridSpan w:val="2"/>
            <w:vAlign w:val="center"/>
          </w:tcPr>
          <w:p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语种</w:t>
            </w:r>
          </w:p>
        </w:tc>
        <w:tc>
          <w:tcPr>
            <w:tcW w:w="3284" w:type="dxa"/>
            <w:vAlign w:val="center"/>
          </w:tcPr>
          <w:p>
            <w:pPr>
              <w:spacing w:line="240" w:lineRule="atLeast"/>
              <w:jc w:val="left"/>
              <w:rPr>
                <w:color w:val="000000"/>
                <w:sz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5" w:hRule="atLeast"/>
          <w:jc w:val="center"/>
        </w:trPr>
        <w:tc>
          <w:tcPr>
            <w:tcW w:w="1450" w:type="dxa"/>
            <w:vAlign w:val="center"/>
          </w:tcPr>
          <w:p>
            <w:pPr>
              <w:spacing w:line="320" w:lineRule="exact"/>
              <w:rPr>
                <w:rFonts w:ascii="华文中宋" w:hAnsi="华文中宋" w:eastAsia="华文中宋"/>
                <w:color w:val="000000"/>
                <w:spacing w:val="-12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pacing w:val="-12"/>
                <w:sz w:val="28"/>
              </w:rPr>
              <w:t>作  者</w:t>
            </w:r>
          </w:p>
          <w:p>
            <w:pPr>
              <w:spacing w:line="320" w:lineRule="exact"/>
              <w:rPr>
                <w:rFonts w:ascii="华文中宋" w:hAnsi="华文中宋" w:eastAsia="华文中宋"/>
                <w:color w:val="000000"/>
                <w:spacing w:val="-12"/>
              </w:rPr>
            </w:pPr>
            <w:r>
              <w:rPr>
                <w:rFonts w:hint="eastAsia" w:ascii="华文中宋" w:hAnsi="华文中宋" w:eastAsia="华文中宋"/>
                <w:color w:val="000000"/>
                <w:spacing w:val="-12"/>
              </w:rPr>
              <w:t>（主创人员）</w:t>
            </w:r>
          </w:p>
        </w:tc>
        <w:tc>
          <w:tcPr>
            <w:tcW w:w="2679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hint="eastAsia" w:hAnsi="华文中宋" w:eastAsia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易成章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雷昕</w:t>
            </w:r>
          </w:p>
        </w:tc>
        <w:tc>
          <w:tcPr>
            <w:tcW w:w="855" w:type="dxa"/>
            <w:gridSpan w:val="2"/>
            <w:vAlign w:val="center"/>
          </w:tcPr>
          <w:p>
            <w:pPr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编辑</w:t>
            </w:r>
          </w:p>
        </w:tc>
        <w:tc>
          <w:tcPr>
            <w:tcW w:w="4640" w:type="dxa"/>
            <w:gridSpan w:val="3"/>
            <w:vAlign w:val="center"/>
          </w:tcPr>
          <w:p>
            <w:pPr>
              <w:spacing w:line="240" w:lineRule="exact"/>
              <w:jc w:val="center"/>
              <w:rPr>
                <w:rFonts w:hint="eastAsia" w:ascii="仿宋" w:hAnsi="仿宋" w:eastAsia="仿宋"/>
                <w:color w:val="000000"/>
                <w:w w:val="95"/>
                <w:szCs w:val="21"/>
                <w:lang w:eastAsia="zh-CN"/>
              </w:rPr>
            </w:pPr>
            <w:r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  <w:lang w:eastAsia="zh-CN"/>
              </w:rPr>
              <w:t>雷多乐</w:t>
            </w:r>
            <w:r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  <w:lang w:eastAsia="zh-CN"/>
              </w:rPr>
              <w:t>张静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00" w:hRule="atLeast"/>
          <w:jc w:val="center"/>
        </w:trPr>
        <w:tc>
          <w:tcPr>
            <w:tcW w:w="1450" w:type="dxa"/>
            <w:vAlign w:val="center"/>
          </w:tcPr>
          <w:p>
            <w:pPr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原创单位</w:t>
            </w:r>
          </w:p>
        </w:tc>
        <w:tc>
          <w:tcPr>
            <w:tcW w:w="2679" w:type="dxa"/>
            <w:gridSpan w:val="2"/>
            <w:vAlign w:val="center"/>
          </w:tcPr>
          <w:p>
            <w:pPr>
              <w:spacing w:line="260" w:lineRule="exact"/>
              <w:jc w:val="center"/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衡阳日报社</w:t>
            </w:r>
          </w:p>
          <w:p>
            <w:pPr>
              <w:spacing w:line="260" w:lineRule="exact"/>
              <w:jc w:val="center"/>
              <w:rPr>
                <w:rFonts w:hint="default" w:hAnsi="仿宋" w:eastAsia="仿宋_GB2312"/>
                <w:color w:val="000000"/>
                <w:sz w:val="21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综合新闻部</w:t>
            </w:r>
          </w:p>
        </w:tc>
        <w:tc>
          <w:tcPr>
            <w:tcW w:w="855" w:type="dxa"/>
            <w:gridSpan w:val="2"/>
            <w:vAlign w:val="center"/>
          </w:tcPr>
          <w:p>
            <w:pPr>
              <w:spacing w:line="40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刊播单位</w:t>
            </w:r>
          </w:p>
        </w:tc>
        <w:tc>
          <w:tcPr>
            <w:tcW w:w="4640" w:type="dxa"/>
            <w:gridSpan w:val="3"/>
            <w:vAlign w:val="center"/>
          </w:tcPr>
          <w:p>
            <w:pPr>
              <w:spacing w:line="320" w:lineRule="exact"/>
              <w:jc w:val="center"/>
              <w:rPr>
                <w:rFonts w:hint="eastAsia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衡阳日报社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3" w:hRule="exact"/>
          <w:jc w:val="center"/>
        </w:trPr>
        <w:tc>
          <w:tcPr>
            <w:tcW w:w="1450" w:type="dxa"/>
            <w:vAlign w:val="center"/>
          </w:tcPr>
          <w:p>
            <w:pPr>
              <w:spacing w:line="4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刊播版面</w:t>
            </w:r>
            <w:r>
              <w:rPr>
                <w:rFonts w:hint="eastAsia" w:ascii="华文中宋" w:hAnsi="华文中宋" w:eastAsia="华文中宋"/>
                <w:color w:val="000000"/>
                <w:spacing w:val="-12"/>
                <w:sz w:val="28"/>
              </w:rPr>
              <w:t>(</w:t>
            </w:r>
            <w:r>
              <w:rPr>
                <w:rFonts w:hint="eastAsia" w:ascii="华文中宋" w:hAnsi="华文中宋" w:eastAsia="华文中宋"/>
                <w:color w:val="000000"/>
                <w:spacing w:val="-12"/>
              </w:rPr>
              <w:t>名称和版次)</w:t>
            </w:r>
          </w:p>
        </w:tc>
        <w:tc>
          <w:tcPr>
            <w:tcW w:w="2679" w:type="dxa"/>
            <w:gridSpan w:val="2"/>
            <w:vAlign w:val="center"/>
          </w:tcPr>
          <w:p>
            <w:pPr>
              <w:spacing w:line="220" w:lineRule="exact"/>
              <w:jc w:val="center"/>
              <w:rPr>
                <w:rFonts w:hint="eastAsia" w:hAnsi="仿宋"/>
                <w:color w:val="000000"/>
                <w:spacing w:val="-6"/>
                <w:sz w:val="21"/>
                <w:szCs w:val="21"/>
                <w:lang w:eastAsia="zh-CN"/>
              </w:rPr>
            </w:pPr>
            <w:r>
              <w:rPr>
                <w:rFonts w:hint="eastAsia" w:hAnsi="仿宋"/>
                <w:color w:val="000000"/>
                <w:spacing w:val="-6"/>
                <w:sz w:val="21"/>
                <w:szCs w:val="21"/>
                <w:lang w:eastAsia="zh-CN"/>
              </w:rPr>
              <w:t>衡阳日报</w:t>
            </w:r>
          </w:p>
          <w:p>
            <w:pPr>
              <w:spacing w:line="220" w:lineRule="exact"/>
              <w:jc w:val="center"/>
              <w:rPr>
                <w:rFonts w:hint="eastAsia" w:hAnsi="仿宋" w:eastAsia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"/>
                <w:color w:val="000000"/>
                <w:spacing w:val="-6"/>
                <w:sz w:val="21"/>
                <w:szCs w:val="21"/>
                <w:lang w:eastAsia="zh-CN"/>
              </w:rPr>
              <w:t>一版</w:t>
            </w:r>
          </w:p>
        </w:tc>
        <w:tc>
          <w:tcPr>
            <w:tcW w:w="855" w:type="dxa"/>
            <w:gridSpan w:val="2"/>
            <w:vAlign w:val="center"/>
          </w:tcPr>
          <w:p>
            <w:pPr>
              <w:spacing w:line="40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刊播日期</w:t>
            </w:r>
          </w:p>
        </w:tc>
        <w:tc>
          <w:tcPr>
            <w:tcW w:w="4640" w:type="dxa"/>
            <w:gridSpan w:val="3"/>
            <w:vAlign w:val="center"/>
          </w:tcPr>
          <w:p>
            <w:pPr>
              <w:spacing w:line="260" w:lineRule="exact"/>
              <w:rPr>
                <w:rFonts w:hint="default" w:hAnsi="仿宋" w:eastAsia="仿宋_GB2312"/>
                <w:color w:val="000000"/>
                <w:szCs w:val="21"/>
                <w:lang w:val="en-US"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val="en-US" w:eastAsia="zh-CN"/>
              </w:rPr>
              <w:t>2024年7月15日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exact"/>
          <w:jc w:val="center"/>
        </w:trPr>
        <w:tc>
          <w:tcPr>
            <w:tcW w:w="2827" w:type="dxa"/>
            <w:gridSpan w:val="2"/>
            <w:vAlign w:val="center"/>
          </w:tcPr>
          <w:p>
            <w:pPr>
              <w:spacing w:line="340" w:lineRule="exact"/>
              <w:rPr>
                <w:rFonts w:hAnsi="仿宋"/>
                <w:color w:val="000000"/>
                <w:szCs w:val="21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新媒体作品填报网址</w:t>
            </w:r>
          </w:p>
        </w:tc>
        <w:tc>
          <w:tcPr>
            <w:tcW w:w="6797" w:type="dxa"/>
            <w:gridSpan w:val="6"/>
            <w:vAlign w:val="center"/>
          </w:tcPr>
          <w:p>
            <w:pPr>
              <w:spacing w:line="260" w:lineRule="exact"/>
              <w:ind w:firstLine="210" w:firstLineChars="100"/>
              <w:jc w:val="both"/>
              <w:rPr>
                <w:rFonts w:hint="eastAsia" w:hAnsi="仿宋_GB2312" w:eastAsia="仿宋_GB2312" w:cs="仿宋_GB2312"/>
                <w:color w:val="000000"/>
                <w:sz w:val="21"/>
                <w:szCs w:val="21"/>
                <w:lang w:eastAsia="zh-CN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  <w:lang w:eastAsia="zh-CN"/>
              </w:rPr>
              <w:t>——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94" w:hRule="atLeast"/>
          <w:jc w:val="center"/>
        </w:trPr>
        <w:tc>
          <w:tcPr>
            <w:tcW w:w="1450" w:type="dxa"/>
            <w:vAlign w:val="center"/>
          </w:tcPr>
          <w:p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 xml:space="preserve">  ︵</w:t>
            </w:r>
          </w:p>
          <w:p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作采</w:t>
            </w:r>
          </w:p>
          <w:p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品编</w:t>
            </w:r>
          </w:p>
          <w:p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简过</w:t>
            </w:r>
          </w:p>
          <w:p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介程</w:t>
            </w:r>
          </w:p>
          <w:p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 xml:space="preserve">  ︶</w:t>
            </w:r>
          </w:p>
        </w:tc>
        <w:tc>
          <w:tcPr>
            <w:tcW w:w="8174" w:type="dxa"/>
            <w:gridSpan w:val="7"/>
            <w:vAlign w:val="center"/>
          </w:tcPr>
          <w:p>
            <w:pPr>
              <w:spacing w:line="320" w:lineRule="exact"/>
              <w:ind w:firstLine="398" w:firstLineChars="200"/>
              <w:jc w:val="both"/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</w:rPr>
              <w:t>乡村振兴和全面深化改革两个重大背景，在报道中得到完美融合和体现。</w:t>
            </w:r>
          </w:p>
          <w:p>
            <w:pPr>
              <w:spacing w:line="320" w:lineRule="exact"/>
              <w:ind w:firstLine="398" w:firstLineChars="200"/>
              <w:jc w:val="both"/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</w:rPr>
              <w:t>这原本是隐藏在长篇讲话材料中的新闻线索。记者发现短短几句话中蕴含的新闻价值，于是向相关职能初步求证。在确认线索值得好好挖掘，</w:t>
            </w:r>
            <w:r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  <w:lang w:eastAsia="zh-CN"/>
              </w:rPr>
              <w:t>记者</w:t>
            </w:r>
            <w:r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</w:rPr>
              <w:t>选取其中典型案例，两次赴新闻发生所在乡村采访。为了尽可能了解老粮站前世今生以及改革样本的价值和意义，记者的采访了粮站老职工、村支书、多家企业老板、乡镇以及衡阳县相关部门领导，衡阳市统筹改革的部门领导等，多达10余人。最终囿于篇幅，采访内容只能优中选优呈现。</w:t>
            </w:r>
          </w:p>
          <w:p>
            <w:pPr>
              <w:spacing w:line="320" w:lineRule="exact"/>
              <w:ind w:firstLine="398" w:firstLineChars="200"/>
              <w:jc w:val="both"/>
              <w:rPr>
                <w:rFonts w:ascii="仿宋" w:hAnsi="仿宋" w:eastAsia="仿宋"/>
                <w:color w:val="000000"/>
                <w:w w:val="95"/>
                <w:szCs w:val="21"/>
              </w:rPr>
            </w:pPr>
            <w:r>
              <w:rPr>
                <w:rFonts w:hint="eastAsia" w:ascii="仿宋" w:hAnsi="仿宋" w:eastAsia="仿宋"/>
                <w:color w:val="000000"/>
                <w:w w:val="95"/>
                <w:sz w:val="21"/>
                <w:szCs w:val="21"/>
              </w:rPr>
              <w:t>成稿后，报道在《衡阳日报》一版重要位置配图推出。另外，新闻客户端掌上衡阳同步多图推出，点击量达11.5万。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51" w:hRule="exact"/>
          <w:jc w:val="center"/>
        </w:trPr>
        <w:tc>
          <w:tcPr>
            <w:tcW w:w="1450" w:type="dxa"/>
            <w:vAlign w:val="center"/>
          </w:tcPr>
          <w:p>
            <w:pPr>
              <w:snapToGrid w:val="0"/>
              <w:spacing w:line="2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社</w:t>
            </w:r>
          </w:p>
          <w:p>
            <w:pPr>
              <w:snapToGrid w:val="0"/>
              <w:spacing w:line="2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会</w:t>
            </w:r>
          </w:p>
          <w:p>
            <w:pPr>
              <w:snapToGrid w:val="0"/>
              <w:spacing w:line="2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效</w:t>
            </w:r>
          </w:p>
          <w:p>
            <w:pPr>
              <w:snapToGrid w:val="0"/>
              <w:spacing w:line="2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果</w:t>
            </w:r>
          </w:p>
        </w:tc>
        <w:tc>
          <w:tcPr>
            <w:tcW w:w="8174" w:type="dxa"/>
            <w:gridSpan w:val="7"/>
            <w:vAlign w:val="center"/>
          </w:tcPr>
          <w:p>
            <w:pPr>
              <w:spacing w:line="320" w:lineRule="exact"/>
              <w:ind w:firstLine="420" w:firstLineChars="200"/>
              <w:jc w:val="both"/>
              <w:rPr>
                <w:rFonts w:hint="eastAsia"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1.同类改革题材和案例报道属全国首发。</w:t>
            </w:r>
          </w:p>
          <w:p>
            <w:pPr>
              <w:spacing w:line="320" w:lineRule="exact"/>
              <w:ind w:firstLine="420" w:firstLineChars="200"/>
              <w:jc w:val="both"/>
              <w:rPr>
                <w:rFonts w:hint="eastAsia"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2.报道涉及的衡阳市此项改革，入选中国改革2024年度市域改革名单。</w:t>
            </w:r>
          </w:p>
          <w:p>
            <w:pPr>
              <w:spacing w:line="320" w:lineRule="exact"/>
              <w:ind w:firstLine="420" w:firstLineChars="200"/>
              <w:jc w:val="both"/>
              <w:rPr>
                <w:rFonts w:hint="eastAsia" w:hAnsi="仿宋_GB2312" w:cs="仿宋_GB2312"/>
                <w:color w:val="000000"/>
                <w:sz w:val="21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>3.中央政研室主办的《学习与研究》杂志2024年第11期推介了此项改革。</w:t>
            </w:r>
          </w:p>
          <w:p>
            <w:pPr>
              <w:spacing w:line="320" w:lineRule="exact"/>
              <w:ind w:firstLine="420" w:firstLineChars="200"/>
              <w:jc w:val="both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hint="eastAsia" w:hAnsi="仿宋_GB2312" w:cs="仿宋_GB2312"/>
                <w:color w:val="000000"/>
                <w:sz w:val="21"/>
                <w:szCs w:val="21"/>
              </w:rPr>
              <w:t xml:space="preserve">4.本篇报道推出后，湖南日报和湖南卫视均跟进报道了此案例。其中，《湖南新闻联播》于2024年8月17日用3分37秒推出报道《记者调查：老粮站如何变身“工业园”》。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80" w:hRule="exact"/>
          <w:jc w:val="center"/>
        </w:trPr>
        <w:tc>
          <w:tcPr>
            <w:tcW w:w="1450" w:type="dxa"/>
            <w:vAlign w:val="center"/>
          </w:tcPr>
          <w:p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 xml:space="preserve">  ︵</w:t>
            </w:r>
          </w:p>
          <w:p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初推</w:t>
            </w:r>
          </w:p>
          <w:p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评荐</w:t>
            </w:r>
          </w:p>
          <w:p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评理</w:t>
            </w:r>
          </w:p>
          <w:p>
            <w:pPr>
              <w:spacing w:line="38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语由</w:t>
            </w:r>
          </w:p>
          <w:p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 xml:space="preserve">  ︶</w:t>
            </w:r>
          </w:p>
        </w:tc>
        <w:tc>
          <w:tcPr>
            <w:tcW w:w="8174" w:type="dxa"/>
            <w:gridSpan w:val="7"/>
            <w:vAlign w:val="center"/>
          </w:tcPr>
          <w:p>
            <w:pPr>
              <w:jc w:val="left"/>
              <w:rPr>
                <w:rFonts w:ascii="华文中宋" w:hAnsi="华文中宋" w:eastAsia="华文中宋"/>
                <w:color w:val="000000"/>
                <w:spacing w:val="-2"/>
                <w:sz w:val="28"/>
              </w:rPr>
            </w:pPr>
            <w:r>
              <w:rPr>
                <w:rFonts w:hint="eastAsia" w:hAnsi="仿宋_GB2312" w:cs="仿宋_GB2312"/>
                <w:sz w:val="21"/>
                <w:szCs w:val="21"/>
                <w:lang w:val="en-US" w:eastAsia="zh-CN"/>
              </w:rPr>
              <w:t xml:space="preserve">    </w:t>
            </w:r>
            <w:r>
              <w:rPr>
                <w:rFonts w:hint="eastAsia" w:hAnsi="仿宋_GB2312" w:cs="仿宋_GB2312"/>
                <w:sz w:val="21"/>
                <w:szCs w:val="21"/>
                <w:lang w:eastAsia="zh-CN"/>
              </w:rPr>
              <w:t>背景重大、样本典型、全国首发、文字流畅、逻辑分明、信息丰富。</w:t>
            </w:r>
            <w:r>
              <w:rPr>
                <w:rFonts w:hint="eastAsia" w:ascii="华文中宋" w:hAnsi="华文中宋" w:eastAsia="华文中宋"/>
                <w:color w:val="000000"/>
                <w:spacing w:val="-2"/>
                <w:sz w:val="28"/>
              </w:rPr>
              <w:t xml:space="preserve">                       </w:t>
            </w:r>
          </w:p>
          <w:p>
            <w:pPr>
              <w:spacing w:line="360" w:lineRule="exact"/>
              <w:ind w:left="3840" w:leftChars="1600"/>
              <w:rPr>
                <w:rFonts w:hint="eastAsia" w:ascii="华文中宋" w:hAnsi="华文中宋" w:eastAsia="华文中宋"/>
                <w:color w:val="000000"/>
                <w:spacing w:val="-2"/>
                <w:sz w:val="28"/>
              </w:rPr>
            </w:pPr>
          </w:p>
          <w:p>
            <w:pPr>
              <w:spacing w:line="360" w:lineRule="exact"/>
              <w:ind w:left="3840" w:leftChars="1600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pacing w:val="-2"/>
                <w:sz w:val="28"/>
              </w:rPr>
              <w:t>签名：</w:t>
            </w: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（盖单位公章）</w:t>
            </w:r>
          </w:p>
          <w:p>
            <w:pPr>
              <w:ind w:left="3840" w:leftChars="1600"/>
              <w:rPr>
                <w:rFonts w:ascii="仿宋" w:hAnsi="仿宋" w:eastAsia="仿宋"/>
                <w:color w:val="000000"/>
                <w:szCs w:val="21"/>
              </w:rPr>
            </w:pPr>
            <w:r>
              <w:rPr>
                <w:rFonts w:ascii="华文中宋" w:hAnsi="华文中宋" w:eastAsia="华文中宋"/>
                <w:color w:val="000000"/>
                <w:sz w:val="28"/>
              </w:rPr>
              <w:t>20</w:t>
            </w: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25</w:t>
            </w:r>
            <w:r>
              <w:rPr>
                <w:rFonts w:ascii="华文中宋" w:hAnsi="华文中宋" w:eastAsia="华文中宋"/>
                <w:color w:val="000000"/>
                <w:sz w:val="28"/>
              </w:rPr>
              <w:t>年</w:t>
            </w:r>
            <w:r>
              <w:rPr>
                <w:rFonts w:hint="eastAsia" w:ascii="华文中宋" w:hAnsi="华文中宋" w:eastAsia="华文中宋"/>
                <w:color w:val="000000"/>
                <w:sz w:val="28"/>
                <w:lang w:val="en-US" w:eastAsia="zh-CN"/>
              </w:rPr>
              <w:t>2</w:t>
            </w: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月</w:t>
            </w:r>
            <w:r>
              <w:rPr>
                <w:rFonts w:hint="eastAsia" w:ascii="华文中宋" w:hAnsi="华文中宋" w:eastAsia="华文中宋"/>
                <w:color w:val="000000"/>
                <w:sz w:val="28"/>
                <w:lang w:val="en-US" w:eastAsia="zh-CN"/>
              </w:rPr>
              <w:t>18</w:t>
            </w: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日</w:t>
            </w:r>
          </w:p>
        </w:tc>
      </w:tr>
      <w:tr>
        <w:tblPrEx>
          <w:tblBorders>
            <w:top w:val="none" w:color="auto" w:sz="0" w:space="0"/>
            <w:left w:val="single" w:color="auto" w:sz="4" w:space="0"/>
            <w:bottom w:val="none" w:color="auto" w:sz="0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7" w:hRule="atLeast"/>
          <w:jc w:val="center"/>
        </w:trPr>
        <w:tc>
          <w:tcPr>
            <w:tcW w:w="1450" w:type="dxa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联系人（作者）</w:t>
            </w:r>
          </w:p>
        </w:tc>
        <w:tc>
          <w:tcPr>
            <w:tcW w:w="2957" w:type="dxa"/>
            <w:gridSpan w:val="3"/>
            <w:tcBorders>
              <w:bottom w:val="single" w:color="auto" w:sz="4" w:space="0"/>
            </w:tcBorders>
            <w:vAlign w:val="center"/>
          </w:tcPr>
          <w:p>
            <w:pPr>
              <w:ind w:firstLine="560"/>
              <w:rPr>
                <w:rFonts w:hint="eastAsia" w:ascii="华文中宋" w:hAnsi="华文中宋" w:eastAsia="华文中宋"/>
                <w:color w:val="000000"/>
                <w:sz w:val="28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eastAsia="zh-CN"/>
              </w:rPr>
              <w:t>易成章</w:t>
            </w:r>
          </w:p>
        </w:tc>
        <w:tc>
          <w:tcPr>
            <w:tcW w:w="1137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rPr>
                <w:rFonts w:ascii="华文中宋" w:hAnsi="华文中宋" w:eastAsia="华文中宋"/>
                <w:color w:val="000000"/>
                <w:sz w:val="28"/>
              </w:rPr>
            </w:pPr>
            <w:r>
              <w:rPr>
                <w:rFonts w:hint="eastAsia" w:ascii="华文中宋" w:hAnsi="华文中宋" w:eastAsia="华文中宋"/>
                <w:color w:val="000000"/>
                <w:sz w:val="28"/>
              </w:rPr>
              <w:t>手机</w:t>
            </w:r>
          </w:p>
        </w:tc>
        <w:tc>
          <w:tcPr>
            <w:tcW w:w="4080" w:type="dxa"/>
            <w:gridSpan w:val="2"/>
            <w:tcBorders>
              <w:bottom w:val="single" w:color="auto" w:sz="4" w:space="0"/>
            </w:tcBorders>
            <w:vAlign w:val="center"/>
          </w:tcPr>
          <w:p>
            <w:pPr>
              <w:spacing w:line="340" w:lineRule="exact"/>
              <w:ind w:firstLine="560"/>
              <w:rPr>
                <w:rFonts w:hint="default" w:ascii="华文中宋" w:hAnsi="华文中宋" w:eastAsia="华文中宋"/>
                <w:color w:val="000000"/>
                <w:sz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1"/>
                <w:szCs w:val="21"/>
                <w:lang w:val="en-US" w:eastAsia="zh-CN"/>
              </w:rPr>
              <w:t>13973449658</w:t>
            </w:r>
          </w:p>
        </w:tc>
      </w:tr>
    </w:tbl>
    <w:p>
      <w:pPr>
        <w:jc w:val="both"/>
        <w:rPr>
          <w:rFonts w:hint="eastAsia" w:eastAsia="仿宋_GB2312"/>
          <w:lang w:eastAsia="zh-CN"/>
        </w:rPr>
      </w:pPr>
    </w:p>
    <w:p>
      <w:pPr>
        <w:jc w:val="center"/>
        <w:rPr>
          <w:rFonts w:hint="eastAsia" w:eastAsia="仿宋_GB2312"/>
          <w:b/>
          <w:bCs/>
          <w:sz w:val="28"/>
          <w:szCs w:val="28"/>
          <w:lang w:eastAsia="zh-CN"/>
        </w:rPr>
      </w:pPr>
      <w:r>
        <w:rPr>
          <w:rFonts w:hint="eastAsia" w:eastAsia="仿宋_GB2312"/>
          <w:b/>
          <w:bCs/>
          <w:sz w:val="28"/>
          <w:szCs w:val="28"/>
          <w:lang w:eastAsia="zh-CN"/>
        </w:rPr>
        <w:t>七旬老粮站两年“生”出6家企业</w:t>
      </w: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 xml:space="preserve">                </w:t>
      </w:r>
    </w:p>
    <w:p>
      <w:pPr>
        <w:jc w:val="both"/>
        <w:rPr>
          <w:rFonts w:hint="eastAsia" w:eastAsia="仿宋_GB2312"/>
          <w:lang w:eastAsia="zh-CN"/>
        </w:rPr>
      </w:pPr>
      <w:r>
        <w:rPr>
          <w:rFonts w:hint="eastAsia"/>
          <w:lang w:val="en-US" w:eastAsia="zh-CN"/>
        </w:rPr>
        <w:t xml:space="preserve">              </w:t>
      </w:r>
      <w:r>
        <w:rPr>
          <w:rFonts w:hint="eastAsia" w:eastAsia="仿宋_GB2312"/>
          <w:lang w:eastAsia="zh-CN"/>
        </w:rPr>
        <w:drawing>
          <wp:inline distT="0" distB="0" distL="114300" distR="114300">
            <wp:extent cx="2571750" cy="2571750"/>
            <wp:effectExtent l="0" t="0" r="0" b="0"/>
            <wp:docPr id="1" name="图片 1" descr="微信图片_20250218232454"/>
            <wp:cNvGraphicFramePr>
              <a:graphicFrameLocks xmlns:a="http://schemas.openxmlformats.org/drawingml/2006/main" noChangeAspect="tru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50218232454"/>
                    <pic:cNvPicPr>
                      <a:picLocks noChangeAspect="true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571750" cy="2571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jc w:val="both"/>
        <w:rPr>
          <w:rFonts w:hint="eastAsia" w:eastAsia="仿宋_GB231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560" w:firstLineChars="20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我市试点改革，唤醒农村“沉睡”的资产。把资产变资源、把“包袱”变财富，助力乡村振兴——</w:t>
      </w:r>
    </w:p>
    <w:p>
      <w:pPr>
        <w:ind w:firstLine="880" w:firstLineChars="200"/>
        <w:rPr>
          <w:rFonts w:hint="default" w:ascii="黑体" w:hAnsi="黑体" w:eastAsia="黑体" w:cs="黑体"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七旬老粮站两年“生”出6家企业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衡阳日报讯 （全媒体记者 易成章 雷昕）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月14日上午，一台物流车从衡阳县演陂镇粮站内出发，将一批竹筷产品发往广东。在“沉睡”18年后，这座年逾七旬的乡村粮站重返“青春”。短短两年时间里，粮站成功“生”出6家乡村企业，每年创造数千万元营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就在两年前，演陂镇粮站还是闲置废弃状态。“很多年没人管了，院子长满杂草，办公楼和仓库到处‘开天窗’！”粮站所在的演陂桥村党支部书记欧盛禄如此描述。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2022年7月14日，市委、市政府“两办”下发《关于搭建城乡产业运营平台助力乡村产业发展的实施方案》。文件的核心精神是，在全市进行改革试点，“设立城乡产业运营公司，盘活城乡、国有、集体闲置资产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演陂镇粮站正是上述文件所指闲置资产之一。粮站始建于上世纪50年代初，目前占地面积22亩多，在2004年改制后结束历史使命。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“当我听说和证实文件精神后，第一时间就想到了这座粮站。我琢磨，‘它能重新活过来了’！”欧盛禄说。他还有另一个特殊身份，衡阳县新盛城乡产业运营公司法人。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彼时，在与村党支部成员达成一致意见后，他第一时间逐级向上申请试点，并获得批准。演陂镇粮站成为公司旗下最重要的经营资产之一。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“修缮办公楼、仓库，以及修路、通水、通电等，总共投入了80多万元。”欧盛禄透露，除此之外，公司要负责给入驻企业提供基本“物业服务”。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欧盛禄并非盲目乐观。他说，有两条高速公路在演陂镇开设了互通口，所以不少乡村企业愿意在这发展。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一家入驻企业创始人段家良证实了欧盛禄的观点。“在农村，合适的厂房难租。自建的话，土地审批很麻烦，也不划算。”之前，他的企业一直在各乡间“打游击”。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从东莞回村开设分厂的曾静夫妻，其企业生产的是钢构产品。他们表示，不管是厂房租金还是工人工资，老家都比东莞便宜不少。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但盘活老粮站带来的是多方共赢。“今年村集体获得的租金收入是13万元。”欧盛禄表示，这只能算是小账。“入驻企业每年还给我们和周边村民提供60-90个就业岗位！”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640"/>
        <w:textAlignment w:val="auto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辖区城乡产业运营公司试点的成功，让演陂镇党委书记谢水林对改革持大力支持的态度。“我们镇有一个镇级平台公司，3个村级平台公司参与试点。从目前情况看，这些公司在盘活资产、激活经济、提供为农服务、促进农副产品销售等方面，发挥了重要作用。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ind w:firstLine="560" w:firstLineChars="200"/>
        <w:textAlignment w:val="auto"/>
        <w:rPr>
          <w:rFonts w:hint="eastAsia" w:eastAsia="仿宋_GB2312"/>
          <w:lang w:eastAsia="zh-CN"/>
        </w:rPr>
      </w:pP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全市此项改革的实施单位，市供销合作总社党组书记、理事会主任刘定安评价说：“改革的目的，是有效激活农村闲置资产，把资产变资源、把‘包袱’变财富。演陂桥村级平台公司摸索出自己的发展模式，为全市改革提供了很好的参考模板。”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01"/>
    <w:family w:val="swiss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华文中宋">
    <w:altName w:val="汉仪中宋简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汉仪中宋简">
    <w:panose1 w:val="02010600000101010101"/>
    <w:charset w:val="86"/>
    <w:family w:val="auto"/>
    <w:pitch w:val="default"/>
    <w:sig w:usb0="00000001" w:usb1="080E0800" w:usb2="00000002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TrueTypeFonts/>
  <w:saveSubset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C1931B2"/>
    <w:rsid w:val="013524F5"/>
    <w:rsid w:val="108D4857"/>
    <w:rsid w:val="10E66A15"/>
    <w:rsid w:val="1FD03B01"/>
    <w:rsid w:val="211349A3"/>
    <w:rsid w:val="381F6AB5"/>
    <w:rsid w:val="467E6E7F"/>
    <w:rsid w:val="4C1931B2"/>
    <w:rsid w:val="4DD44ECB"/>
    <w:rsid w:val="50137BD6"/>
    <w:rsid w:val="53224ECB"/>
    <w:rsid w:val="63395252"/>
    <w:rsid w:val="6FFDE59D"/>
    <w:rsid w:val="73AE7220"/>
    <w:rsid w:val="7F7D58EC"/>
    <w:rsid w:val="9D4B5CFF"/>
    <w:rsid w:val="BA7B23C6"/>
    <w:rsid w:val="FE734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jc w:val="center"/>
    </w:pPr>
    <w:rPr>
      <w:rFonts w:ascii="仿宋_GB2312" w:hAnsi="Times New Roman" w:eastAsia="仿宋_GB2312" w:cs="Times New Roman"/>
      <w:kern w:val="2"/>
      <w:sz w:val="24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652</Words>
  <Characters>690</Characters>
  <Lines>0</Lines>
  <Paragraphs>0</Paragraphs>
  <TotalTime>0</TotalTime>
  <ScaleCrop>false</ScaleCrop>
  <LinksUpToDate>false</LinksUpToDate>
  <CharactersWithSpaces>756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2025-02-17T17:18:00Z</dcterms:created>
  <dc:creator>笑春风</dc:creator>
  <cp:lastModifiedBy>kylin</cp:lastModifiedBy>
  <dcterms:modified xsi:type="dcterms:W3CDTF">2025-03-04T15:34:11Z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ICV">
    <vt:lpwstr>9CAA76F624B344098CE495641A57B41D_13</vt:lpwstr>
  </property>
  <property fmtid="{D5CDD505-2E9C-101B-9397-08002B2CF9AE}" pid="4" name="KSOTemplateDocerSaveRecord">
    <vt:lpwstr>eyJoZGlkIjoiOWUzOWE1M2ZhODkyMGQ0Zjc5ZjUxZDUzMDc2MzM2ZDIiLCJ1c2VySWQiOiI1MzYxMDY4MjYifQ==</vt:lpwstr>
  </property>
</Properties>
</file>