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50" w:line="600" w:lineRule="exact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湖南新闻奖参评作品推荐表</w:t>
      </w:r>
    </w:p>
    <w:p>
      <w:pPr>
        <w:spacing w:line="400" w:lineRule="exact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hAnsi="仿宋"/>
          <w:b/>
          <w:color w:val="000000"/>
        </w:rPr>
        <w:t>（表格内字体为五号仿宋_GB2312）</w:t>
      </w:r>
    </w:p>
    <w:tbl>
      <w:tblPr>
        <w:tblStyle w:val="11"/>
        <w:tblW w:w="96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1377"/>
        <w:gridCol w:w="1302"/>
        <w:gridCol w:w="278"/>
        <w:gridCol w:w="577"/>
        <w:gridCol w:w="560"/>
        <w:gridCol w:w="796"/>
        <w:gridCol w:w="3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0" w:hRule="exact"/>
          <w:jc w:val="center"/>
        </w:trPr>
        <w:tc>
          <w:tcPr>
            <w:tcW w:w="1450" w:type="dxa"/>
            <w:vMerge w:val="restart"/>
            <w:vAlign w:val="center"/>
          </w:tcPr>
          <w:p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作品标题</w:t>
            </w:r>
          </w:p>
        </w:tc>
        <w:tc>
          <w:tcPr>
            <w:tcW w:w="3534" w:type="dxa"/>
            <w:gridSpan w:val="4"/>
            <w:vMerge w:val="restart"/>
            <w:vAlign w:val="center"/>
          </w:tcPr>
          <w:p>
            <w:pPr>
              <w:spacing w:line="260" w:lineRule="exact"/>
              <w:jc w:val="left"/>
              <w:rPr>
                <w:rFonts w:hint="eastAsia" w:ascii="___WRD_EMBED_SUB_38" w:hAnsi="___WRD_EMBED_SUB_38" w:eastAsia="___WRD_EMBED_SUB_38" w:cs="___WRD_EMBED_SUB_38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大城之南·乐游雁峰</w:t>
            </w:r>
          </w:p>
        </w:tc>
        <w:tc>
          <w:tcPr>
            <w:tcW w:w="1356" w:type="dxa"/>
            <w:gridSpan w:val="2"/>
            <w:vAlign w:val="center"/>
          </w:tcPr>
          <w:p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参评项目</w:t>
            </w:r>
          </w:p>
        </w:tc>
        <w:tc>
          <w:tcPr>
            <w:tcW w:w="3284" w:type="dxa"/>
            <w:vAlign w:val="center"/>
          </w:tcPr>
          <w:p>
            <w:pPr>
              <w:spacing w:line="260" w:lineRule="exact"/>
              <w:jc w:val="left"/>
              <w:rPr>
                <w:rFonts w:hint="default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县融优秀作品奖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8" w:hRule="exact"/>
          <w:jc w:val="center"/>
        </w:trPr>
        <w:tc>
          <w:tcPr>
            <w:tcW w:w="1450" w:type="dxa"/>
            <w:vMerge w:val="continue"/>
            <w:vAlign w:val="center"/>
          </w:tcPr>
          <w:p>
            <w:pPr>
              <w:spacing w:line="380" w:lineRule="exact"/>
              <w:ind w:firstLine="560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3534" w:type="dxa"/>
            <w:gridSpan w:val="4"/>
            <w:vMerge w:val="continue"/>
            <w:vAlign w:val="center"/>
          </w:tcPr>
          <w:p>
            <w:pPr>
              <w:spacing w:line="380" w:lineRule="exact"/>
              <w:ind w:firstLine="560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1356" w:type="dxa"/>
            <w:gridSpan w:val="2"/>
            <w:vAlign w:val="center"/>
          </w:tcPr>
          <w:p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体裁</w:t>
            </w:r>
          </w:p>
        </w:tc>
        <w:tc>
          <w:tcPr>
            <w:tcW w:w="3284" w:type="dxa"/>
            <w:vAlign w:val="center"/>
          </w:tcPr>
          <w:p>
            <w:pPr>
              <w:spacing w:line="260" w:lineRule="exact"/>
              <w:jc w:val="left"/>
              <w:rPr>
                <w:rFonts w:hint="eastAsia" w:hAnsi="仿宋_GB2312" w:eastAsia="仿宋_GB2312" w:cs="仿宋_GB2312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eastAsia="zh-CN"/>
              </w:rPr>
              <w:t>新媒体系列报道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2" w:hRule="exact"/>
          <w:jc w:val="center"/>
        </w:trPr>
        <w:tc>
          <w:tcPr>
            <w:tcW w:w="1450" w:type="dxa"/>
            <w:vMerge w:val="continue"/>
            <w:vAlign w:val="center"/>
          </w:tcPr>
          <w:p>
            <w:pPr>
              <w:spacing w:line="380" w:lineRule="exact"/>
              <w:ind w:firstLine="560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3534" w:type="dxa"/>
            <w:gridSpan w:val="4"/>
            <w:vMerge w:val="continue"/>
            <w:vAlign w:val="center"/>
          </w:tcPr>
          <w:p>
            <w:pPr>
              <w:spacing w:line="380" w:lineRule="exact"/>
              <w:ind w:firstLine="560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1356" w:type="dxa"/>
            <w:gridSpan w:val="2"/>
            <w:vAlign w:val="center"/>
          </w:tcPr>
          <w:p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语种</w:t>
            </w:r>
          </w:p>
        </w:tc>
        <w:tc>
          <w:tcPr>
            <w:tcW w:w="3284" w:type="dxa"/>
            <w:vAlign w:val="center"/>
          </w:tcPr>
          <w:p>
            <w:pPr>
              <w:spacing w:line="260" w:lineRule="exact"/>
              <w:jc w:val="left"/>
              <w:rPr>
                <w:rFonts w:hint="eastAsia" w:hAnsi="仿宋_GB2312" w:cs="仿宋_GB2312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1450" w:type="dxa"/>
            <w:vAlign w:val="center"/>
          </w:tcPr>
          <w:p>
            <w:pPr>
              <w:spacing w:line="320" w:lineRule="exact"/>
              <w:rPr>
                <w:rFonts w:ascii="华文中宋" w:hAnsi="华文中宋" w:eastAsia="华文中宋"/>
                <w:color w:val="000000"/>
                <w:spacing w:val="-12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12"/>
                <w:sz w:val="28"/>
              </w:rPr>
              <w:t>作  者</w:t>
            </w:r>
          </w:p>
          <w:p>
            <w:pPr>
              <w:spacing w:line="320" w:lineRule="exact"/>
              <w:rPr>
                <w:rFonts w:ascii="华文中宋" w:hAnsi="华文中宋" w:eastAsia="华文中宋"/>
                <w:color w:val="000000"/>
                <w:spacing w:val="-12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12"/>
              </w:rPr>
              <w:t>（主创人员）</w:t>
            </w:r>
          </w:p>
        </w:tc>
        <w:tc>
          <w:tcPr>
            <w:tcW w:w="2679" w:type="dxa"/>
            <w:gridSpan w:val="2"/>
            <w:vAlign w:val="center"/>
          </w:tcPr>
          <w:p>
            <w:pPr>
              <w:spacing w:line="260" w:lineRule="exact"/>
              <w:ind w:left="210" w:hanging="210" w:hangingChars="100"/>
              <w:jc w:val="left"/>
              <w:rPr>
                <w:rFonts w:hint="eastAsia"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  <w:t>李小龙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  <w:t>蒋楠</w:t>
            </w:r>
          </w:p>
        </w:tc>
        <w:tc>
          <w:tcPr>
            <w:tcW w:w="855" w:type="dxa"/>
            <w:gridSpan w:val="2"/>
            <w:vAlign w:val="center"/>
          </w:tcPr>
          <w:p>
            <w:pPr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编辑</w:t>
            </w:r>
          </w:p>
        </w:tc>
        <w:tc>
          <w:tcPr>
            <w:tcW w:w="4640" w:type="dxa"/>
            <w:gridSpan w:val="3"/>
            <w:vAlign w:val="center"/>
          </w:tcPr>
          <w:p>
            <w:pPr>
              <w:spacing w:line="260" w:lineRule="exact"/>
              <w:jc w:val="left"/>
              <w:rPr>
                <w:rFonts w:hint="eastAsia"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eastAsia="zh-CN"/>
              </w:rPr>
              <w:t>段雨婧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0" w:hRule="atLeast"/>
          <w:jc w:val="center"/>
        </w:trPr>
        <w:tc>
          <w:tcPr>
            <w:tcW w:w="1450" w:type="dxa"/>
            <w:vAlign w:val="center"/>
          </w:tcPr>
          <w:p>
            <w:pPr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原创单位</w:t>
            </w:r>
          </w:p>
        </w:tc>
        <w:tc>
          <w:tcPr>
            <w:tcW w:w="2679" w:type="dxa"/>
            <w:gridSpan w:val="2"/>
            <w:vAlign w:val="center"/>
          </w:tcPr>
          <w:p>
            <w:pPr>
              <w:spacing w:line="260" w:lineRule="exact"/>
              <w:jc w:val="left"/>
              <w:rPr>
                <w:rFonts w:hint="eastAsia" w:hAnsi="仿宋_GB2312" w:eastAsia="仿宋_GB2312" w:cs="仿宋_GB2312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雁峰区融媒体中心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新闻采编组</w:t>
            </w:r>
          </w:p>
        </w:tc>
        <w:tc>
          <w:tcPr>
            <w:tcW w:w="855" w:type="dxa"/>
            <w:gridSpan w:val="2"/>
            <w:vAlign w:val="center"/>
          </w:tcPr>
          <w:p>
            <w:pPr>
              <w:spacing w:line="40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刊播单位</w:t>
            </w:r>
          </w:p>
        </w:tc>
        <w:tc>
          <w:tcPr>
            <w:tcW w:w="4640" w:type="dxa"/>
            <w:gridSpan w:val="3"/>
            <w:vAlign w:val="center"/>
          </w:tcPr>
          <w:p>
            <w:pPr>
              <w:spacing w:line="260" w:lineRule="exact"/>
              <w:jc w:val="left"/>
              <w:rPr>
                <w:rFonts w:hint="eastAsia"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雁峰区融媒体中心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13" w:hRule="exact"/>
          <w:jc w:val="center"/>
        </w:trPr>
        <w:tc>
          <w:tcPr>
            <w:tcW w:w="1450" w:type="dxa"/>
            <w:vAlign w:val="center"/>
          </w:tcPr>
          <w:p>
            <w:pPr>
              <w:spacing w:line="4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刊播版面</w:t>
            </w:r>
            <w:r>
              <w:rPr>
                <w:rFonts w:hint="eastAsia" w:ascii="华文中宋" w:hAnsi="华文中宋" w:eastAsia="华文中宋"/>
                <w:color w:val="000000"/>
                <w:spacing w:val="-12"/>
                <w:sz w:val="28"/>
              </w:rPr>
              <w:t>(</w:t>
            </w:r>
            <w:r>
              <w:rPr>
                <w:rFonts w:hint="eastAsia" w:ascii="华文中宋" w:hAnsi="华文中宋" w:eastAsia="华文中宋"/>
                <w:color w:val="000000"/>
                <w:spacing w:val="-12"/>
              </w:rPr>
              <w:t>名称和版次)</w:t>
            </w:r>
          </w:p>
        </w:tc>
        <w:tc>
          <w:tcPr>
            <w:tcW w:w="2679" w:type="dxa"/>
            <w:gridSpan w:val="2"/>
            <w:vAlign w:val="center"/>
          </w:tcPr>
          <w:p>
            <w:pPr>
              <w:spacing w:line="260" w:lineRule="exact"/>
              <w:jc w:val="left"/>
              <w:rPr>
                <w:rFonts w:hint="default" w:hAnsi="仿宋_GB2312" w:cs="仿宋_GB2312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sz w:val="21"/>
                <w:szCs w:val="21"/>
                <w:lang w:val="en-US" w:eastAsia="zh-CN"/>
              </w:rPr>
              <w:t>廻雁新闻</w:t>
            </w:r>
            <w:r>
              <w:rPr>
                <w:rFonts w:hint="eastAsia" w:hAnsi="仿宋_GB2312" w:cs="仿宋_GB2312"/>
                <w:color w:val="000000"/>
                <w:spacing w:val="-6"/>
                <w:sz w:val="21"/>
                <w:szCs w:val="21"/>
                <w:lang w:val="en-US" w:eastAsia="zh-CN"/>
              </w:rPr>
              <w:t>客户端</w:t>
            </w:r>
          </w:p>
        </w:tc>
        <w:tc>
          <w:tcPr>
            <w:tcW w:w="855" w:type="dxa"/>
            <w:gridSpan w:val="2"/>
            <w:vAlign w:val="center"/>
          </w:tcPr>
          <w:p>
            <w:pPr>
              <w:spacing w:line="40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刊播日期</w:t>
            </w:r>
          </w:p>
        </w:tc>
        <w:tc>
          <w:tcPr>
            <w:tcW w:w="4640" w:type="dxa"/>
            <w:gridSpan w:val="3"/>
            <w:vAlign w:val="center"/>
          </w:tcPr>
          <w:p>
            <w:pPr>
              <w:spacing w:line="260" w:lineRule="exact"/>
              <w:jc w:val="left"/>
              <w:rPr>
                <w:rFonts w:hint="eastAsia" w:hAnsi="仿宋_GB2312" w:eastAsia="仿宋_GB2312" w:cs="仿宋_GB2312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2024年9月12日—2024年9月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  <w:t>日</w:t>
            </w:r>
          </w:p>
          <w:p>
            <w:pPr>
              <w:spacing w:line="260" w:lineRule="exact"/>
              <w:jc w:val="left"/>
              <w:rPr>
                <w:rFonts w:hint="eastAsia" w:hAnsi="仿宋_GB2312" w:cs="仿宋_GB2312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exact"/>
          <w:jc w:val="center"/>
        </w:trPr>
        <w:tc>
          <w:tcPr>
            <w:tcW w:w="2827" w:type="dxa"/>
            <w:gridSpan w:val="2"/>
            <w:vAlign w:val="center"/>
          </w:tcPr>
          <w:p>
            <w:pPr>
              <w:spacing w:line="340" w:lineRule="exact"/>
              <w:rPr>
                <w:rFonts w:hAnsi="仿宋"/>
                <w:color w:val="000000"/>
                <w:szCs w:val="21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新媒体作品填报网址</w:t>
            </w:r>
          </w:p>
        </w:tc>
        <w:tc>
          <w:tcPr>
            <w:tcW w:w="6797" w:type="dxa"/>
            <w:gridSpan w:val="6"/>
            <w:vAlign w:val="center"/>
          </w:tcPr>
          <w:p>
            <w:pPr>
              <w:spacing w:line="260" w:lineRule="exact"/>
              <w:rPr>
                <w:rFonts w:hAnsi="仿宋_GB2312" w:cs="仿宋_GB2312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77" w:hRule="atLeast"/>
          <w:jc w:val="center"/>
        </w:trPr>
        <w:tc>
          <w:tcPr>
            <w:tcW w:w="1450" w:type="dxa"/>
            <w:vAlign w:val="center"/>
          </w:tcPr>
          <w:p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 xml:space="preserve">  ︵</w:t>
            </w:r>
          </w:p>
          <w:p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作采</w:t>
            </w:r>
          </w:p>
          <w:p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品编</w:t>
            </w:r>
          </w:p>
          <w:p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简过</w:t>
            </w:r>
          </w:p>
          <w:p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介程</w:t>
            </w:r>
          </w:p>
          <w:p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 xml:space="preserve">  ︶</w:t>
            </w:r>
          </w:p>
        </w:tc>
        <w:tc>
          <w:tcPr>
            <w:tcW w:w="8174" w:type="dxa"/>
            <w:gridSpan w:val="7"/>
            <w:vAlign w:val="center"/>
          </w:tcPr>
          <w:p>
            <w:pPr>
              <w:spacing w:line="260" w:lineRule="exact"/>
              <w:ind w:firstLine="420" w:firstLineChars="200"/>
              <w:jc w:val="left"/>
              <w:rPr>
                <w:rFonts w:hint="eastAsia"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衡阳市雁峰区，是雁城衡阳的城市原点。天地大儒王船山在这里出生，老工业基地的最辉煌的一页在这里书写，雁城的标志大雁雕塑伫立在这里……乘着第三届湖南旅发大会的东风，这些文化元素有了“新生”。《大城之南·乐游雁峰》系列报道，以记者视角报道以记者的亲历视角，带领读者走进雁峰，体验从老工业基地的辉煌岁月到新时代文旅融合的新风貌，陪同大家游玩雁峰，穿越古今，做千年雁峰的第一批游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25" w:hRule="exact"/>
          <w:jc w:val="center"/>
        </w:trPr>
        <w:tc>
          <w:tcPr>
            <w:tcW w:w="1450" w:type="dxa"/>
            <w:vAlign w:val="center"/>
          </w:tcPr>
          <w:p>
            <w:pPr>
              <w:snapToGrid w:val="0"/>
              <w:spacing w:line="2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社</w:t>
            </w:r>
          </w:p>
          <w:p>
            <w:pPr>
              <w:snapToGrid w:val="0"/>
              <w:spacing w:line="2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会</w:t>
            </w:r>
          </w:p>
          <w:p>
            <w:pPr>
              <w:snapToGrid w:val="0"/>
              <w:spacing w:line="2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效</w:t>
            </w:r>
          </w:p>
          <w:p>
            <w:pPr>
              <w:snapToGrid w:val="0"/>
              <w:spacing w:line="2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果</w:t>
            </w:r>
          </w:p>
        </w:tc>
        <w:tc>
          <w:tcPr>
            <w:tcW w:w="8174" w:type="dxa"/>
            <w:gridSpan w:val="7"/>
            <w:vAlign w:val="center"/>
          </w:tcPr>
          <w:p>
            <w:pPr>
              <w:spacing w:line="260" w:lineRule="exact"/>
              <w:ind w:firstLine="420" w:firstLineChars="200"/>
              <w:jc w:val="left"/>
              <w:rPr>
                <w:rFonts w:hint="eastAsia"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该系列报道在刊发平台浏览量达200万+，以其深邃的文化视角与生动的旅游叙事，重新定义了雁峰的文旅版图，引领民众探寻雁峰脚下的自然之美与文化之韵，极大地激发了公众对本土文化的自豪感与探索欲，不仅促进了当地旅游业的蓬勃发展，带动了周边经济的活力，还让“乐游雁峰”成为了一种时尚的生活态度与文化符号，展现了城市文明与自然生态和谐共生的美好图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86" w:hRule="exact"/>
          <w:jc w:val="center"/>
        </w:trPr>
        <w:tc>
          <w:tcPr>
            <w:tcW w:w="1450" w:type="dxa"/>
            <w:vAlign w:val="center"/>
          </w:tcPr>
          <w:p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 xml:space="preserve">  ︵</w:t>
            </w:r>
          </w:p>
          <w:p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初推</w:t>
            </w:r>
          </w:p>
          <w:p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评荐</w:t>
            </w:r>
          </w:p>
          <w:p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评理</w:t>
            </w:r>
          </w:p>
          <w:p>
            <w:pPr>
              <w:spacing w:line="38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语由</w:t>
            </w:r>
          </w:p>
          <w:p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 xml:space="preserve">  ︶</w:t>
            </w:r>
          </w:p>
        </w:tc>
        <w:tc>
          <w:tcPr>
            <w:tcW w:w="8174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firstLine="420" w:firstLineChars="200"/>
              <w:jc w:val="both"/>
              <w:textAlignment w:val="auto"/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该系列报道以独特的视角、生动的笔触和精美的影像，全方位展现了雁峰区的历史人文与自然风光，为读者呈现了一幅丰富多彩的文旅画卷。改报道语言鲜活，传播效果显著，有效提升了雁峰区的知名度和美誉度，是文旅宣传的优秀范例，充分体现了新闻作品的传播力、引导力和影响力，具备较高的新闻价值和社会效益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firstLine="420" w:firstLineChars="200"/>
              <w:jc w:val="both"/>
              <w:textAlignment w:val="auto"/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exact"/>
              <w:ind w:firstLine="4760" w:firstLineChars="1700"/>
              <w:jc w:val="both"/>
              <w:rPr>
                <w:rFonts w:hint="eastAsia"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lang w:val="en-US" w:eastAsia="zh-CN"/>
              </w:rPr>
              <w:t>签名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：（盖单位公章）</w:t>
            </w:r>
          </w:p>
          <w:p>
            <w:pPr>
              <w:ind w:left="3840" w:leftChars="1600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lang w:val="en-US" w:eastAsia="zh-CN"/>
              </w:rPr>
              <w:t xml:space="preserve">   </w:t>
            </w:r>
            <w:r>
              <w:rPr>
                <w:rFonts w:ascii="华文中宋" w:hAnsi="华文中宋" w:eastAsia="华文中宋"/>
                <w:color w:val="000000"/>
                <w:sz w:val="28"/>
              </w:rPr>
              <w:t>20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24</w:t>
            </w:r>
            <w:r>
              <w:rPr>
                <w:rFonts w:ascii="华文中宋" w:hAnsi="华文中宋" w:eastAsia="华文中宋"/>
                <w:color w:val="000000"/>
                <w:sz w:val="28"/>
              </w:rPr>
              <w:t>年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lang w:val="en-US" w:eastAsia="zh-CN"/>
              </w:rPr>
              <w:t>2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月</w:t>
            </w:r>
            <w:r>
              <w:rPr>
                <w:rFonts w:hint="eastAsia" w:ascii="华文中宋" w:hAnsi="华文中宋" w:eastAsia="华文中宋"/>
                <w:color w:val="000000"/>
                <w:sz w:val="28"/>
                <w:lang w:val="en-US" w:eastAsia="zh-CN"/>
              </w:rPr>
              <w:t>20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日</w:t>
            </w:r>
          </w:p>
        </w:tc>
      </w:tr>
      <w:tr>
        <w:tblPrEx>
          <w:tblBorders>
            <w:top w:val="none" w:color="auto" w:sz="0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" w:hRule="atLeast"/>
          <w:jc w:val="center"/>
        </w:trPr>
        <w:tc>
          <w:tcPr>
            <w:tcW w:w="1450" w:type="dxa"/>
            <w:tcBorders>
              <w:bottom w:val="single" w:color="auto" w:sz="4" w:space="0"/>
            </w:tcBorders>
            <w:vAlign w:val="center"/>
          </w:tcPr>
          <w:p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联系人（作者）</w:t>
            </w:r>
          </w:p>
        </w:tc>
        <w:tc>
          <w:tcPr>
            <w:tcW w:w="295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8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李小龙</w:t>
            </w:r>
          </w:p>
        </w:tc>
        <w:tc>
          <w:tcPr>
            <w:tcW w:w="1137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手机</w:t>
            </w:r>
          </w:p>
        </w:tc>
        <w:tc>
          <w:tcPr>
            <w:tcW w:w="408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34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13397343758</w:t>
            </w:r>
          </w:p>
        </w:tc>
      </w:tr>
    </w:tbl>
    <w:p>
      <w:pPr>
        <w:jc w:val="both"/>
        <w:rPr>
          <w:rFonts w:ascii="黑体" w:hAnsi="黑体" w:eastAsia="黑体" w:cs="黑体"/>
          <w:bCs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Cs/>
          <w:color w:val="000000"/>
          <w:sz w:val="32"/>
          <w:szCs w:val="32"/>
        </w:rPr>
        <w:t>附件9</w:t>
      </w:r>
    </w:p>
    <w:p>
      <w:pPr>
        <w:spacing w:afterLines="50" w:line="600" w:lineRule="exact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湖南新闻奖系列报道作品完整目录</w:t>
      </w:r>
    </w:p>
    <w:p>
      <w:pPr>
        <w:spacing w:line="320" w:lineRule="exact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hAnsi="仿宋"/>
          <w:b/>
          <w:color w:val="000000"/>
        </w:rPr>
        <w:t>（表格内字体为五号仿宋_GB2312）</w:t>
      </w:r>
    </w:p>
    <w:tbl>
      <w:tblPr>
        <w:tblStyle w:val="11"/>
        <w:tblW w:w="9713" w:type="dxa"/>
        <w:jc w:val="center"/>
        <w:tblBorders>
          <w:top w:val="single" w:color="auto" w:sz="4" w:space="0"/>
          <w:left w:val="single" w:color="auto" w:sz="4" w:space="0"/>
          <w:bottom w:val="none" w:color="auto" w:sz="0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"/>
        <w:gridCol w:w="942"/>
        <w:gridCol w:w="2602"/>
        <w:gridCol w:w="849"/>
        <w:gridCol w:w="1164"/>
        <w:gridCol w:w="1387"/>
        <w:gridCol w:w="1290"/>
        <w:gridCol w:w="648"/>
      </w:tblGrid>
      <w:tr>
        <w:tblPrEx>
          <w:tblBorders>
            <w:top w:val="single" w:color="auto" w:sz="4" w:space="0"/>
            <w:left w:val="single" w:color="auto" w:sz="4" w:space="0"/>
            <w:bottom w:val="none" w:color="auto" w:sz="0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773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作品标题</w:t>
            </w:r>
          </w:p>
        </w:tc>
        <w:tc>
          <w:tcPr>
            <w:tcW w:w="7940" w:type="dxa"/>
            <w:gridSpan w:val="6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1"/>
                <w:szCs w:val="21"/>
              </w:rPr>
              <w:t>大城之南·乐游雁峰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4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3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单篇作品标题</w:t>
            </w:r>
          </w:p>
        </w:tc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体裁</w:t>
            </w:r>
          </w:p>
        </w:tc>
        <w:tc>
          <w:tcPr>
            <w:tcW w:w="11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字数/时长</w:t>
            </w:r>
          </w:p>
        </w:tc>
        <w:tc>
          <w:tcPr>
            <w:tcW w:w="1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刊播日期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刊播版面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spacing w:line="320" w:lineRule="exact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5" w:hRule="exact"/>
          <w:jc w:val="center"/>
        </w:trPr>
        <w:tc>
          <w:tcPr>
            <w:tcW w:w="831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hAnsi="仿宋_GB2312" w:cs="仿宋_GB2312"/>
                <w:color w:val="000000"/>
                <w:sz w:val="28"/>
                <w:szCs w:val="28"/>
              </w:rPr>
              <w:t>1</w:t>
            </w:r>
          </w:p>
        </w:tc>
        <w:tc>
          <w:tcPr>
            <w:tcW w:w="3544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大城之南·乐游雁峰①｜在南岳第一峰，见新意，更见心意</w:t>
            </w:r>
          </w:p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</w:p>
        </w:tc>
        <w:tc>
          <w:tcPr>
            <w:tcW w:w="84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文字报道</w:t>
            </w:r>
          </w:p>
        </w:tc>
        <w:tc>
          <w:tcPr>
            <w:tcW w:w="11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1464字</w:t>
            </w:r>
          </w:p>
        </w:tc>
        <w:tc>
          <w:tcPr>
            <w:tcW w:w="138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2024-09-12</w:t>
            </w:r>
          </w:p>
        </w:tc>
        <w:tc>
          <w:tcPr>
            <w:tcW w:w="129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sz w:val="21"/>
                <w:szCs w:val="21"/>
                <w:lang w:val="en-US" w:eastAsia="zh-CN"/>
              </w:rPr>
              <w:t>廻雁新闻</w:t>
            </w:r>
            <w:r>
              <w:rPr>
                <w:rFonts w:hint="eastAsia" w:hAnsi="仿宋_GB2312" w:cs="仿宋_GB2312"/>
                <w:color w:val="000000"/>
                <w:spacing w:val="-6"/>
                <w:sz w:val="21"/>
                <w:szCs w:val="21"/>
                <w:lang w:val="en-US" w:eastAsia="zh-CN"/>
              </w:rPr>
              <w:t>客户端</w:t>
            </w:r>
          </w:p>
        </w:tc>
        <w:tc>
          <w:tcPr>
            <w:tcW w:w="64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hAnsi="仿宋_GB2312" w:eastAsia="仿宋_GB2312" w:cs="仿宋_GB2312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hAnsi="仿宋_GB2312" w:cs="仿宋_GB2312"/>
                <w:color w:val="auto"/>
                <w:sz w:val="21"/>
                <w:szCs w:val="21"/>
                <w:lang w:val="en-US" w:eastAsia="zh-CN"/>
              </w:rPr>
              <w:t>代表作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  <w:jc w:val="center"/>
        </w:trPr>
        <w:tc>
          <w:tcPr>
            <w:tcW w:w="831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hAnsi="仿宋_GB2312" w:cs="仿宋_GB2312"/>
                <w:color w:val="000000"/>
                <w:sz w:val="28"/>
                <w:szCs w:val="28"/>
              </w:rPr>
              <w:t>2</w:t>
            </w:r>
          </w:p>
        </w:tc>
        <w:tc>
          <w:tcPr>
            <w:tcW w:w="3544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大城之南·乐游雁峰②｜廻雁峰广场：来雁城原点开“盲盒”</w:t>
            </w:r>
          </w:p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</w:p>
        </w:tc>
        <w:tc>
          <w:tcPr>
            <w:tcW w:w="849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文字报道</w:t>
            </w:r>
          </w:p>
        </w:tc>
        <w:tc>
          <w:tcPr>
            <w:tcW w:w="1164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1126字</w:t>
            </w:r>
          </w:p>
        </w:tc>
        <w:tc>
          <w:tcPr>
            <w:tcW w:w="1387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2024-09-13</w:t>
            </w:r>
          </w:p>
        </w:tc>
        <w:tc>
          <w:tcPr>
            <w:tcW w:w="1290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sz w:val="21"/>
                <w:szCs w:val="21"/>
                <w:lang w:val="en-US" w:eastAsia="zh-CN"/>
              </w:rPr>
              <w:t>廻雁新闻</w:t>
            </w:r>
            <w:r>
              <w:rPr>
                <w:rFonts w:hint="eastAsia" w:hAnsi="仿宋_GB2312" w:cs="仿宋_GB2312"/>
                <w:color w:val="000000"/>
                <w:spacing w:val="-6"/>
                <w:sz w:val="21"/>
                <w:szCs w:val="21"/>
                <w:lang w:val="en-US" w:eastAsia="zh-CN"/>
              </w:rPr>
              <w:t>客户端</w:t>
            </w:r>
          </w:p>
        </w:tc>
        <w:tc>
          <w:tcPr>
            <w:tcW w:w="648" w:type="dxa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hAnsi="仿宋_GB2312" w:eastAsia="仿宋_GB2312" w:cs="仿宋_GB2312"/>
                <w:color w:val="auto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exact"/>
          <w:jc w:val="center"/>
        </w:trPr>
        <w:tc>
          <w:tcPr>
            <w:tcW w:w="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hAnsi="仿宋_GB2312" w:cs="仿宋_GB2312"/>
                <w:color w:val="000000"/>
                <w:sz w:val="28"/>
                <w:szCs w:val="28"/>
              </w:rPr>
              <w:t>3</w:t>
            </w:r>
          </w:p>
        </w:tc>
        <w:tc>
          <w:tcPr>
            <w:tcW w:w="35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大城之南·乐游雁峰③｜中山南路的历史，你知多少？</w:t>
            </w:r>
          </w:p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</w:p>
        </w:tc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文字报道</w:t>
            </w:r>
          </w:p>
        </w:tc>
        <w:tc>
          <w:tcPr>
            <w:tcW w:w="11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1248字</w:t>
            </w:r>
          </w:p>
        </w:tc>
        <w:tc>
          <w:tcPr>
            <w:tcW w:w="1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2024-09-14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sz w:val="21"/>
                <w:szCs w:val="21"/>
                <w:lang w:val="en-US" w:eastAsia="zh-CN"/>
              </w:rPr>
              <w:t>廻雁新闻</w:t>
            </w:r>
            <w:r>
              <w:rPr>
                <w:rFonts w:hint="eastAsia" w:hAnsi="仿宋_GB2312" w:cs="仿宋_GB2312"/>
                <w:color w:val="000000"/>
                <w:spacing w:val="-6"/>
                <w:sz w:val="21"/>
                <w:szCs w:val="21"/>
                <w:lang w:val="en-US" w:eastAsia="zh-CN"/>
              </w:rPr>
              <w:t>客户端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exact"/>
          <w:jc w:val="center"/>
        </w:trPr>
        <w:tc>
          <w:tcPr>
            <w:tcW w:w="831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hAnsi="仿宋_GB2312" w:cs="仿宋_GB2312"/>
                <w:color w:val="000000"/>
                <w:sz w:val="28"/>
                <w:szCs w:val="28"/>
              </w:rPr>
              <w:t>4</w:t>
            </w:r>
          </w:p>
        </w:tc>
        <w:tc>
          <w:tcPr>
            <w:tcW w:w="354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大城之南·乐游雁峰④｜市府路：一条道前街 一段衡阳史</w:t>
            </w:r>
          </w:p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</w:p>
        </w:tc>
        <w:tc>
          <w:tcPr>
            <w:tcW w:w="849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文字报道</w:t>
            </w:r>
          </w:p>
        </w:tc>
        <w:tc>
          <w:tcPr>
            <w:tcW w:w="1164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1418字</w:t>
            </w:r>
          </w:p>
        </w:tc>
        <w:tc>
          <w:tcPr>
            <w:tcW w:w="1387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2024-09-15</w:t>
            </w:r>
          </w:p>
        </w:tc>
        <w:tc>
          <w:tcPr>
            <w:tcW w:w="1290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sz w:val="21"/>
                <w:szCs w:val="21"/>
                <w:lang w:val="en-US" w:eastAsia="zh-CN"/>
              </w:rPr>
              <w:t>廻雁新闻</w:t>
            </w:r>
            <w:r>
              <w:rPr>
                <w:rFonts w:hint="eastAsia" w:hAnsi="仿宋_GB2312" w:cs="仿宋_GB2312"/>
                <w:color w:val="000000"/>
                <w:spacing w:val="-6"/>
                <w:sz w:val="21"/>
                <w:szCs w:val="21"/>
                <w:lang w:val="en-US" w:eastAsia="zh-CN"/>
              </w:rPr>
              <w:t>客户端</w:t>
            </w:r>
          </w:p>
        </w:tc>
        <w:tc>
          <w:tcPr>
            <w:tcW w:w="648" w:type="dxa"/>
            <w:tcBorders>
              <w:top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hAnsi="仿宋_GB2312" w:cs="仿宋_GB2312"/>
                <w:color w:val="auto"/>
                <w:sz w:val="21"/>
                <w:szCs w:val="21"/>
                <w:lang w:val="en-US" w:eastAsia="zh-CN"/>
              </w:rPr>
              <w:t>代表作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4" w:hRule="exact"/>
          <w:jc w:val="center"/>
        </w:trPr>
        <w:tc>
          <w:tcPr>
            <w:tcW w:w="831" w:type="dxa"/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hAnsi="仿宋_GB2312" w:cs="仿宋_GB2312"/>
                <w:color w:val="000000"/>
                <w:sz w:val="28"/>
                <w:szCs w:val="28"/>
              </w:rPr>
              <w:t>5</w:t>
            </w:r>
          </w:p>
        </w:tc>
        <w:tc>
          <w:tcPr>
            <w:tcW w:w="354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大城之南·乐游雁峰⑤｜古汉康养基地：开启千年中医药寻根之旅</w:t>
            </w:r>
          </w:p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</w:p>
        </w:tc>
        <w:tc>
          <w:tcPr>
            <w:tcW w:w="849" w:type="dxa"/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文字报道</w:t>
            </w:r>
          </w:p>
        </w:tc>
        <w:tc>
          <w:tcPr>
            <w:tcW w:w="1164" w:type="dxa"/>
            <w:vAlign w:val="center"/>
          </w:tcPr>
          <w:p>
            <w:pPr>
              <w:snapToGrid w:val="0"/>
              <w:jc w:val="center"/>
              <w:rPr>
                <w:rFonts w:hint="default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1236字</w:t>
            </w:r>
          </w:p>
        </w:tc>
        <w:tc>
          <w:tcPr>
            <w:tcW w:w="1387" w:type="dxa"/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2024-09-17</w:t>
            </w:r>
          </w:p>
        </w:tc>
        <w:tc>
          <w:tcPr>
            <w:tcW w:w="1290" w:type="dxa"/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sz w:val="21"/>
                <w:szCs w:val="21"/>
                <w:lang w:val="en-US" w:eastAsia="zh-CN"/>
              </w:rPr>
              <w:t>廻雁新闻</w:t>
            </w:r>
            <w:r>
              <w:rPr>
                <w:rFonts w:hint="eastAsia" w:hAnsi="仿宋_GB2312" w:cs="仿宋_GB2312"/>
                <w:color w:val="000000"/>
                <w:spacing w:val="-6"/>
                <w:sz w:val="21"/>
                <w:szCs w:val="21"/>
                <w:lang w:val="en-US" w:eastAsia="zh-CN"/>
              </w:rPr>
              <w:t>客户端</w:t>
            </w:r>
          </w:p>
        </w:tc>
        <w:tc>
          <w:tcPr>
            <w:tcW w:w="648" w:type="dxa"/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exact"/>
          <w:jc w:val="center"/>
        </w:trPr>
        <w:tc>
          <w:tcPr>
            <w:tcW w:w="831" w:type="dxa"/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hAnsi="仿宋_GB2312" w:cs="仿宋_GB2312"/>
                <w:color w:val="000000"/>
                <w:sz w:val="28"/>
                <w:szCs w:val="28"/>
              </w:rPr>
              <w:t>6</w:t>
            </w:r>
          </w:p>
        </w:tc>
        <w:tc>
          <w:tcPr>
            <w:tcW w:w="354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大城之南·乐游雁峰⑥｜“心社1921”：来一场跨越百年的相见</w:t>
            </w:r>
          </w:p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</w:p>
        </w:tc>
        <w:tc>
          <w:tcPr>
            <w:tcW w:w="849" w:type="dxa"/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文字报道</w:t>
            </w:r>
          </w:p>
        </w:tc>
        <w:tc>
          <w:tcPr>
            <w:tcW w:w="1164" w:type="dxa"/>
            <w:vAlign w:val="center"/>
          </w:tcPr>
          <w:p>
            <w:pPr>
              <w:snapToGrid w:val="0"/>
              <w:jc w:val="center"/>
              <w:rPr>
                <w:rFonts w:hint="default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1230字</w:t>
            </w:r>
          </w:p>
        </w:tc>
        <w:tc>
          <w:tcPr>
            <w:tcW w:w="1387" w:type="dxa"/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2024-09-18</w:t>
            </w:r>
          </w:p>
        </w:tc>
        <w:tc>
          <w:tcPr>
            <w:tcW w:w="1290" w:type="dxa"/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sz w:val="21"/>
                <w:szCs w:val="21"/>
                <w:lang w:val="en-US" w:eastAsia="zh-CN"/>
              </w:rPr>
              <w:t>廻雁新闻</w:t>
            </w:r>
            <w:r>
              <w:rPr>
                <w:rFonts w:hint="eastAsia" w:hAnsi="仿宋_GB2312" w:cs="仿宋_GB2312"/>
                <w:color w:val="000000"/>
                <w:spacing w:val="-6"/>
                <w:sz w:val="21"/>
                <w:szCs w:val="21"/>
                <w:lang w:val="en-US" w:eastAsia="zh-CN"/>
              </w:rPr>
              <w:t>客户端</w:t>
            </w:r>
          </w:p>
        </w:tc>
        <w:tc>
          <w:tcPr>
            <w:tcW w:w="648" w:type="dxa"/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exact"/>
          <w:jc w:val="center"/>
        </w:trPr>
        <w:tc>
          <w:tcPr>
            <w:tcW w:w="831" w:type="dxa"/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hAnsi="仿宋_GB2312" w:cs="仿宋_GB2312"/>
                <w:color w:val="000000"/>
                <w:sz w:val="28"/>
                <w:szCs w:val="28"/>
              </w:rPr>
              <w:t>7</w:t>
            </w:r>
          </w:p>
        </w:tc>
        <w:tc>
          <w:tcPr>
            <w:tcW w:w="354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大城之南·乐游雁峰⑦｜来大雁文化体验馆，重新认识衡阳“雁”</w:t>
            </w:r>
          </w:p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</w:p>
        </w:tc>
        <w:tc>
          <w:tcPr>
            <w:tcW w:w="849" w:type="dxa"/>
            <w:vAlign w:val="center"/>
          </w:tcPr>
          <w:p>
            <w:pPr>
              <w:snapToGrid w:val="0"/>
              <w:jc w:val="center"/>
              <w:rPr>
                <w:rFonts w:hint="default" w:hAnsi="仿宋_GB2312" w:cs="仿宋_GB2312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文字报道</w:t>
            </w:r>
          </w:p>
        </w:tc>
        <w:tc>
          <w:tcPr>
            <w:tcW w:w="1164" w:type="dxa"/>
            <w:vAlign w:val="center"/>
          </w:tcPr>
          <w:p>
            <w:pPr>
              <w:snapToGrid w:val="0"/>
              <w:jc w:val="center"/>
              <w:rPr>
                <w:rFonts w:hint="default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1549字</w:t>
            </w:r>
          </w:p>
        </w:tc>
        <w:tc>
          <w:tcPr>
            <w:tcW w:w="1387" w:type="dxa"/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2024-09-19</w:t>
            </w:r>
          </w:p>
        </w:tc>
        <w:tc>
          <w:tcPr>
            <w:tcW w:w="1290" w:type="dxa"/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sz w:val="21"/>
                <w:szCs w:val="21"/>
                <w:lang w:val="en-US" w:eastAsia="zh-CN"/>
              </w:rPr>
              <w:t>廻雁新闻</w:t>
            </w:r>
            <w:r>
              <w:rPr>
                <w:rFonts w:hint="eastAsia" w:hAnsi="仿宋_GB2312" w:cs="仿宋_GB2312"/>
                <w:color w:val="000000"/>
                <w:spacing w:val="-6"/>
                <w:sz w:val="21"/>
                <w:szCs w:val="21"/>
                <w:lang w:val="en-US" w:eastAsia="zh-CN"/>
              </w:rPr>
              <w:t>客户端</w:t>
            </w:r>
          </w:p>
        </w:tc>
        <w:tc>
          <w:tcPr>
            <w:tcW w:w="648" w:type="dxa"/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2" w:hRule="exact"/>
          <w:jc w:val="center"/>
        </w:trPr>
        <w:tc>
          <w:tcPr>
            <w:tcW w:w="831" w:type="dxa"/>
            <w:vAlign w:val="center"/>
          </w:tcPr>
          <w:p>
            <w:pPr>
              <w:snapToGrid w:val="0"/>
              <w:jc w:val="center"/>
              <w:rPr>
                <w:rFonts w:hint="eastAsia" w:hAnsi="仿宋_GB2312" w:eastAsia="仿宋_GB2312" w:cs="仿宋_GB2312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hAnsi="仿宋_GB2312" w:cs="仿宋_GB2312"/>
                <w:color w:val="000000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3544" w:type="dxa"/>
            <w:gridSpan w:val="2"/>
            <w:vAlign w:val="center"/>
          </w:tcPr>
          <w:p>
            <w:pPr>
              <w:snapToGrid w:val="0"/>
              <w:jc w:val="center"/>
              <w:rPr>
                <w:rFonts w:hAnsi="仿宋_GB2312" w:cs="仿宋_GB2312"/>
                <w:color w:val="000000"/>
                <w:sz w:val="21"/>
                <w:szCs w:val="21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大城之南·乐游雁峰⑧｜白沙大道工业文创街区：走进这里，读懂输变电之城</w:t>
            </w:r>
          </w:p>
        </w:tc>
        <w:tc>
          <w:tcPr>
            <w:tcW w:w="849" w:type="dxa"/>
            <w:vAlign w:val="center"/>
          </w:tcPr>
          <w:p>
            <w:pPr>
              <w:snapToGrid w:val="0"/>
              <w:jc w:val="center"/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文字报道</w:t>
            </w:r>
          </w:p>
        </w:tc>
        <w:tc>
          <w:tcPr>
            <w:tcW w:w="1164" w:type="dxa"/>
            <w:vAlign w:val="center"/>
          </w:tcPr>
          <w:p>
            <w:pPr>
              <w:snapToGrid w:val="0"/>
              <w:jc w:val="center"/>
              <w:rPr>
                <w:rFonts w:hint="default" w:hAnsi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1809字</w:t>
            </w:r>
          </w:p>
        </w:tc>
        <w:tc>
          <w:tcPr>
            <w:tcW w:w="1387" w:type="dxa"/>
            <w:vAlign w:val="center"/>
          </w:tcPr>
          <w:p>
            <w:pPr>
              <w:snapToGrid w:val="0"/>
              <w:jc w:val="center"/>
              <w:rPr>
                <w:rFonts w:hint="default" w:hAnsi="仿宋_GB2312" w:eastAsia="仿宋_GB2312" w:cs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hAnsi="仿宋_GB2312" w:cs="仿宋_GB2312"/>
                <w:color w:val="000000"/>
                <w:sz w:val="21"/>
                <w:szCs w:val="21"/>
              </w:rPr>
              <w:t>2024-09-</w:t>
            </w:r>
            <w:r>
              <w:rPr>
                <w:rFonts w:hint="eastAsia" w:hAnsi="仿宋_GB2312" w:cs="仿宋_GB2312"/>
                <w:color w:val="000000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290" w:type="dxa"/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sz w:val="21"/>
                <w:szCs w:val="21"/>
                <w:lang w:val="en-US" w:eastAsia="zh-CN"/>
              </w:rPr>
              <w:t>廻雁新闻</w:t>
            </w:r>
            <w:r>
              <w:rPr>
                <w:rFonts w:hint="eastAsia" w:hAnsi="仿宋_GB2312" w:cs="仿宋_GB2312"/>
                <w:color w:val="000000"/>
                <w:spacing w:val="-6"/>
                <w:sz w:val="21"/>
                <w:szCs w:val="21"/>
                <w:lang w:val="en-US" w:eastAsia="zh-CN"/>
              </w:rPr>
              <w:t>客户端</w:t>
            </w:r>
          </w:p>
        </w:tc>
        <w:tc>
          <w:tcPr>
            <w:tcW w:w="648" w:type="dxa"/>
            <w:vAlign w:val="center"/>
          </w:tcPr>
          <w:p>
            <w:pPr>
              <w:snapToGrid w:val="0"/>
              <w:jc w:val="center"/>
              <w:rPr>
                <w:rFonts w:hint="eastAsia" w:hAnsi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hAnsi="仿宋_GB2312" w:cs="仿宋_GB2312"/>
                <w:color w:val="auto"/>
                <w:sz w:val="21"/>
                <w:szCs w:val="21"/>
                <w:lang w:val="en-US" w:eastAsia="zh-CN"/>
              </w:rPr>
              <w:t>代表作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9713" w:type="dxa"/>
            <w:gridSpan w:val="8"/>
            <w:tcBorders>
              <w:left w:val="nil"/>
              <w:bottom w:val="nil"/>
              <w:right w:val="nil"/>
            </w:tcBorders>
            <w:vAlign w:val="center"/>
          </w:tcPr>
          <w:p>
            <w:pPr>
              <w:numPr>
                <w:ilvl w:val="0"/>
                <w:numId w:val="1"/>
              </w:numPr>
              <w:spacing w:line="320" w:lineRule="exact"/>
              <w:jc w:val="left"/>
              <w:rPr>
                <w:rFonts w:ascii="楷体" w:hAnsi="楷体" w:eastAsia="楷体" w:cs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000000"/>
                <w:sz w:val="21"/>
                <w:szCs w:val="21"/>
              </w:rPr>
              <w:t>附在参评作品推荐表后。</w:t>
            </w:r>
          </w:p>
          <w:p>
            <w:pPr>
              <w:numPr>
                <w:ilvl w:val="0"/>
                <w:numId w:val="1"/>
              </w:numPr>
              <w:spacing w:line="320" w:lineRule="exact"/>
              <w:jc w:val="left"/>
              <w:rPr>
                <w:rFonts w:ascii="楷体" w:hAnsi="楷体" w:eastAsia="楷体" w:cs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000000"/>
                <w:sz w:val="21"/>
                <w:szCs w:val="21"/>
              </w:rPr>
              <w:t>三篇代表作必须从开头、中间、结尾三部分中各选1篇，并在“备注”栏内注明“代表作”字样。</w:t>
            </w:r>
          </w:p>
          <w:p>
            <w:pPr>
              <w:numPr>
                <w:ilvl w:val="0"/>
                <w:numId w:val="1"/>
              </w:numPr>
              <w:spacing w:line="320" w:lineRule="exact"/>
              <w:jc w:val="left"/>
              <w:rPr>
                <w:rFonts w:ascii="楷体" w:hAnsi="楷体" w:eastAsia="楷体" w:cs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000000"/>
                <w:sz w:val="21"/>
                <w:szCs w:val="21"/>
              </w:rPr>
              <w:t>填报作品按发表时间排序。</w:t>
            </w:r>
          </w:p>
          <w:p>
            <w:pPr>
              <w:numPr>
                <w:ilvl w:val="0"/>
                <w:numId w:val="1"/>
              </w:numPr>
              <w:spacing w:line="320" w:lineRule="exact"/>
              <w:jc w:val="left"/>
              <w:rPr>
                <w:rFonts w:ascii="楷体" w:hAnsi="楷体" w:eastAsia="楷体" w:cs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color w:val="000000"/>
                <w:sz w:val="21"/>
                <w:szCs w:val="21"/>
              </w:rPr>
              <w:t>音视频内容，应填报时长。</w:t>
            </w:r>
          </w:p>
          <w:p>
            <w:pPr>
              <w:numPr>
                <w:ilvl w:val="0"/>
                <w:numId w:val="1"/>
              </w:numPr>
              <w:spacing w:line="320" w:lineRule="exact"/>
              <w:jc w:val="left"/>
              <w:rPr>
                <w:rFonts w:ascii="楷体" w:hAnsi="楷体" w:eastAsia="楷体"/>
                <w:color w:val="000000"/>
                <w:sz w:val="28"/>
              </w:rPr>
            </w:pPr>
            <w:r>
              <w:rPr>
                <w:rFonts w:hint="eastAsia" w:ascii="楷体" w:hAnsi="楷体" w:eastAsia="楷体" w:cs="楷体"/>
                <w:color w:val="000000"/>
                <w:sz w:val="21"/>
                <w:szCs w:val="21"/>
              </w:rPr>
              <w:t>广播、电视、新媒体作品在“刊播日期”栏内填报播出日期及时间；在“刊播版面”栏内填报作品刊播频道、频率、账号和栏目名称。</w:t>
            </w:r>
          </w:p>
        </w:tc>
      </w:tr>
    </w:tbl>
    <w:p>
      <w:pPr>
        <w:jc w:val="both"/>
        <w:rPr>
          <w:rFonts w:hint="eastAsia" w:ascii="仿宋" w:hAnsi="仿宋" w:eastAsia="仿宋"/>
          <w:b/>
          <w:bCs/>
          <w:sz w:val="28"/>
          <w:szCs w:val="28"/>
        </w:rPr>
      </w:pPr>
    </w:p>
    <w:p>
      <w:pPr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作品链接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大城之南·乐游雁峰①｜在南岳第一峰，见新意，更见心意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lang w:eastAsia="zh-CN"/>
        </w:rPr>
        <w:drawing>
          <wp:inline distT="0" distB="0" distL="114300" distR="114300">
            <wp:extent cx="2051685" cy="2051685"/>
            <wp:effectExtent l="0" t="0" r="5715" b="5715"/>
            <wp:docPr id="32" name="图片 32" descr="1_1037769069_171_85_3_986626911_aa2e0b3d381114e27af41d67d6f41bcb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_1037769069_171_85_3_986626911_aa2e0b3d381114e27af41d67d6f41bcb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大城之南·乐游雁峰④｜市府路：一条道前街 一段衡阳史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lang w:eastAsia="zh-CN"/>
        </w:rPr>
        <w:drawing>
          <wp:inline distT="0" distB="0" distL="114300" distR="114300">
            <wp:extent cx="2060575" cy="2060575"/>
            <wp:effectExtent l="0" t="0" r="15875" b="15875"/>
            <wp:docPr id="35" name="图片 35" descr="1_1037769069_171_85_3_986629175_d03d61e16f89893e7812d2e670e66e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_1037769069_171_85_3_986629175_d03d61e16f89893e7812d2e670e66e1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大城之南·乐游雁峰⑧｜白沙大道工业文创街区：走进这里，读懂输变电之城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lang w:eastAsia="zh-CN"/>
        </w:rPr>
        <w:drawing>
          <wp:inline distT="0" distB="0" distL="114300" distR="114300">
            <wp:extent cx="2106930" cy="2106930"/>
            <wp:effectExtent l="0" t="0" r="7620" b="7620"/>
            <wp:docPr id="39" name="图片 39" descr="1_1037769069_171_85_3_986630826_149eac7ac6f5e56e22ab6b03f229babb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_1037769069_171_85_3_986630826_149eac7ac6f5e56e22ab6b03f229babb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jc w:val="both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484120" cy="3155315"/>
            <wp:effectExtent l="0" t="0" r="11430" b="6985"/>
            <wp:docPr id="6" name="图片 6" descr="（截图）大城之南・乐游雁峰①｜在南岳第一峰，见新意，更见心意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（截图）大城之南・乐游雁峰①｜在南岳第一峰，见新意，更见心意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137410" cy="2948305"/>
            <wp:effectExtent l="0" t="0" r="15240" b="4445"/>
            <wp:docPr id="7" name="图片 7" descr="（截图）大城之南・乐游雁峰④｜市府路：一条道前街 一段衡阳史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（截图）大城之南・乐游雁峰④｜市府路：一条道前街 一段衡阳史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hAnsi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 xml:space="preserve">    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303780" cy="2854960"/>
            <wp:effectExtent l="0" t="0" r="1270" b="2540"/>
            <wp:docPr id="8" name="图片 8" descr="（截图）大城之南・乐游雁峰⑧｜白沙大道工业文创街区：走进这里，读懂输变电之城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（截图）大城之南・乐游雁峰⑧｜白沙大道工业文创街区：走进这里，读懂输变电之城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jc w:val="center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大城之南·乐游雁峰①｜在南岳第一峰，见新意，更见心意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2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Style w:val="14"/>
          <w:rFonts w:hint="eastAsia" w:ascii="仿宋_GB2312" w:hAnsi="仿宋_GB2312" w:eastAsia="仿宋_GB2312" w:cs="仿宋_GB2312"/>
          <w:sz w:val="28"/>
          <w:szCs w:val="28"/>
        </w:rPr>
        <w:t>编者按：</w:t>
      </w:r>
      <w:r>
        <w:rPr>
          <w:rFonts w:hint="eastAsia" w:ascii="仿宋_GB2312" w:hAnsi="仿宋_GB2312" w:eastAsia="仿宋_GB2312" w:cs="仿宋_GB2312"/>
          <w:sz w:val="28"/>
          <w:szCs w:val="28"/>
        </w:rPr>
        <w:t>衡阳市雁峰区，是雁城衡阳的城市原点。天地大儒王船山在这里出生，老工业基地的最辉煌的一页在这里书写，雁城的标志大雁雕塑伫立在这里……乘着第三届湖南旅发大会的东风，这些文化元素有了“新生”。红网推出《大城之南·乐游雁峰》系列报道，以记者视角陪同大家游玩雁峰，穿越古今，做千年雁峰的第一批游客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486400" cy="3657600"/>
            <wp:effectExtent l="0" t="0" r="0" b="0"/>
            <wp:docPr id="5" name="图片 1" descr="94e1027b9fd6a2ed41480ed08f8f4d1.marked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94e1027b9fd6a2ed41480ed08f8f4d1.marked.jpg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300" w:afterAutospacing="0" w:line="360" w:lineRule="auto"/>
        <w:ind w:left="0" w:right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color w:val="777777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777777"/>
          <w:sz w:val="28"/>
          <w:szCs w:val="28"/>
        </w:rPr>
        <w:t>璀璨夜景。摄影 欧红宇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晚霞、落日、摩天轮，青山、绿水、缓缓观矣。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近期，位于衡阳市雁峰区的摩天轮在社交媒体火热出圈，定位衡阳，总能看到关于摩天轮的美照与视频，评论表示，“傍晚的摩天轮满足我对浪漫的一切幻想”“我要做第一批体验的游客”……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全省唯一依峰傍水的摩天轮，悄然成为衡阳城区的浪漫地标。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东观涛涛湘江，西赏首峰回雁，南眺东洲桃浪，北望石鼓书院，独特的地理位置，也带给它独一无二、新旧交替的文化属性。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它所在的雁峰区南岳第一峰·廻雁峰旅游区项目，更是文化气息拉满，大雁文化、红色文化、名山文化等汇聚了衡阳文化最重要的IP符号，是探索湖湘文化起源的重要地方。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2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Style w:val="14"/>
          <w:rFonts w:hint="eastAsia" w:ascii="仿宋_GB2312" w:hAnsi="仿宋_GB2312" w:eastAsia="仿宋_GB2312" w:cs="仿宋_GB2312"/>
          <w:sz w:val="28"/>
          <w:szCs w:val="28"/>
        </w:rPr>
        <w:t>关于历史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南岳第一峰·廻雁峰作为南岳衡山七十二峰之首，不仅是地理位置上的首峰，是衡阳的城市原点、生态核心。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“晴天归路好相逐，正是峰前回雁时。”从古至今，文人墨客或途经或定居衡阳，留下关于衡岳的诗赋，后人可从中窥探衡阳历史文化发展之一二。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以南岳七十二峰为主题的主题诗词墙，构建出潇湘山水文脉，搭配以清代著名宫廷画家沈振麟创作的《七十二峰》工笔画为蓝本，以七十二峰为主题，增设的首峰城雕，将为市民及游客留下难以忘怀的文化记忆。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4838700" cy="2713355"/>
            <wp:effectExtent l="0" t="0" r="0" b="10795"/>
            <wp:docPr id="4" name="图片 2" descr="17a0d978990fcd1e44c5cc91949fe31.marked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17a0d978990fcd1e44c5cc91949fe31.marked.jpg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713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300" w:afterAutospacing="0" w:line="360" w:lineRule="auto"/>
        <w:ind w:left="0" w:right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color w:val="777777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777777"/>
          <w:sz w:val="28"/>
          <w:szCs w:val="28"/>
        </w:rPr>
        <w:t>潇湘八景文化创意场测试灯光。摄影 欧红宇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此外，在原体育馆与衡阳市图书馆新馆之间，潇湘八景文化创意场也将与市民见面，借助古画中的山、水、树、鸟、村庄等形态，缔造沉浸式、互动式体验空间，打造集观赏、科普、休憩、消费于一体的商业运营空间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4954905" cy="2787650"/>
            <wp:effectExtent l="0" t="0" r="17145" b="12700"/>
            <wp:docPr id="1" name="图片 3" descr="dc2f0009bacd8d895cfc5b1d7a106fa.marked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dc2f0009bacd8d895cfc5b1d7a106fa.marked.jpg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300" w:afterAutospacing="0" w:line="360" w:lineRule="auto"/>
        <w:ind w:left="0" w:right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color w:val="777777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777777"/>
          <w:sz w:val="28"/>
          <w:szCs w:val="28"/>
        </w:rPr>
        <w:t>“心社”话剧排练。摄影 欧红宇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值得一提的是，旅游区里一抹鲜艳的红——“心社”。一百多前，衡阳进步学生成立“心社”，心社”共有贺恕、蒋先云、夏明翰等31名成员，在新民主主义革命时期，有24人加入中国共产党，有21人为革命献出了宝贵的生命。他们，开启了衡阳红色革命。除展厅外，还有“心社”沙龙，可开展主题沙龙、剧本杀、政治生日等丰富多彩的活动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走进旅游区，你会与衡阳的历史撞个满怀，在不同文化的指引下，穿越时空，认识多维角度下不同的衡阳。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2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Style w:val="14"/>
          <w:rFonts w:hint="eastAsia" w:ascii="仿宋_GB2312" w:hAnsi="仿宋_GB2312" w:eastAsia="仿宋_GB2312" w:cs="仿宋_GB2312"/>
          <w:sz w:val="28"/>
          <w:szCs w:val="28"/>
        </w:rPr>
        <w:t>关于大雁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衡阳，又名雁城。大雁文化是衡阳特有的文化现象，是衡阳的文化符号。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廻雁峰北门入口的廻雁峰广场上，1985年建成雁城地标大雁雕塑，见证了衡阳市近40年的高速发展，陪伴了一代又一代衡阳人。如今，崭新的盘旋而上的大雁雕塑，与衡阳人一起，迎接八方来客。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311775" cy="7967980"/>
            <wp:effectExtent l="0" t="0" r="3175" b="13970"/>
            <wp:docPr id="2" name="图片 4" descr="e7e10796b666aa914521e2bff9337bd.marked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e7e10796b666aa914521e2bff9337bd.marked.jpg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7967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300" w:afterAutospacing="0" w:line="360" w:lineRule="auto"/>
        <w:ind w:left="0" w:right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color w:val="777777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777777"/>
          <w:sz w:val="28"/>
          <w:szCs w:val="28"/>
        </w:rPr>
        <w:t>南岳第一峰文旅项目。摄影 欧红宇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本次项目内全新打造的大雁文化体验馆以“万里衡阳雁”为主题，运用了多种数字科技展示方式，通过现代化科技手段，将衡阳的历史名人及在地文物进行活化展示，为观众提供新颖的互动体验。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486400" cy="3086100"/>
            <wp:effectExtent l="0" t="0" r="0" b="0"/>
            <wp:docPr id="3" name="图片 5" descr="d57f62e25bb068dc6a7638d45753d8c.marked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d57f62e25bb068dc6a7638d45753d8c.marked.jpg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300" w:afterAutospacing="0" w:line="360" w:lineRule="auto"/>
        <w:ind w:left="0" w:right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color w:val="777777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777777"/>
          <w:sz w:val="28"/>
          <w:szCs w:val="28"/>
        </w:rPr>
        <w:t>云彩装扮南岳第一峰。摄影 欧红宇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除大雁文化体验馆外，摩天轮所在的大雁文创园也以大雁为主题，它也是社会投资运营的乐园。摩天轮总高88.8米，36个高档圆型座舱每舱可坐6人，可同时容纳216人，旋转一周约用20分钟时间。除摩天轮外，还有旋转木马、雁宝成长乐园等亲子类项目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作为衡阳市12个县市区中唯一以雁命名的雁峰区，在弘扬大雁文化时不遗余力，为雁城再添闪光点。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纵观整个旅游区，新旧交融是建设的关键词，处处可见历史文化与现代活力的结合，让市民、游客在交流、互动、游玩的过程中，处处能感受历史文化的魅力，娱乐之外，更显新意，也更见心意。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firstLine="1505" w:firstLineChars="200"/>
        <w:textAlignment w:val="auto"/>
        <w:rPr>
          <w:rFonts w:hint="eastAsia" w:ascii="SourceHanSerifCN-Medium" w:hAnsi="SourceHanSerifCN-Medium" w:cs="SourceHanSerifCN-Medium"/>
          <w:b/>
          <w:bCs/>
          <w:i w:val="0"/>
          <w:iCs w:val="0"/>
          <w:caps w:val="0"/>
          <w:color w:val="000000"/>
          <w:spacing w:val="0"/>
          <w:sz w:val="75"/>
          <w:szCs w:val="75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SourceHanSerifCN-Medium" w:hAnsi="SourceHanSerifCN-Medium" w:cs="SourceHanSerifCN-Medium"/>
          <w:b/>
          <w:bCs/>
          <w:i w:val="0"/>
          <w:iCs w:val="0"/>
          <w:caps w:val="0"/>
          <w:color w:val="000000"/>
          <w:spacing w:val="0"/>
          <w:sz w:val="75"/>
          <w:szCs w:val="75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2" w:firstLineChars="200"/>
        <w:jc w:val="center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大城之南·乐游雁峰④｜市府路：一条道前街 一段衡阳史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2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Style w:val="14"/>
          <w:rFonts w:hint="eastAsia" w:ascii="仿宋_GB2312" w:hAnsi="仿宋_GB2312" w:eastAsia="仿宋_GB2312" w:cs="仿宋_GB2312"/>
          <w:sz w:val="28"/>
          <w:szCs w:val="28"/>
        </w:rPr>
        <w:t>编者按：</w:t>
      </w:r>
      <w:r>
        <w:rPr>
          <w:rFonts w:hint="eastAsia" w:ascii="仿宋_GB2312" w:hAnsi="仿宋_GB2312" w:eastAsia="仿宋_GB2312" w:cs="仿宋_GB2312"/>
          <w:sz w:val="28"/>
          <w:szCs w:val="28"/>
        </w:rPr>
        <w:t>衡阳市雁峰区，是雁城衡阳的城市原点。天地大儒王船山在这里出生，老工业基地的最辉煌的一页在这里书写，雁城的标志大雁雕塑伫立在这里……乘着第三届湖南旅发大会的东风，这些文化元素有了“新生”。红网推出《大城之南·乐游雁峰》系列报道，以记者视角陪同大家游玩雁峰，穿越古今，做千年雁峰的第一批游客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454650" cy="3636645"/>
            <wp:effectExtent l="0" t="0" r="12700" b="1905"/>
            <wp:docPr id="14" name="图片 13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56"/>
                    <pic:cNvPicPr>
                      <a:picLocks noChangeAspect="true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300" w:afterAutospacing="0" w:line="360" w:lineRule="auto"/>
        <w:ind w:left="0" w:right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color w:val="777777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777777"/>
          <w:sz w:val="28"/>
          <w:szCs w:val="28"/>
        </w:rPr>
        <w:t>热闹的雁峰区市府路美食街。（摄影/欧红宇）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雁城烟火，味聚市府。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要列衡阳市区热闹排行榜的话，雁峰区市府路美食街绝对榜上有名。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作为老城区商业中心的小吃街，这条路，承载了一代又一代衡阳人的美食与青春的记忆。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然而，许多人不知道的是，市府路不仅是夜间经济的集聚地，也是历史文化的承载地。乘着第三届湖南旅发大会的东风，市府路从老旧街区变身新文旅街区，上演着古今交融的新故事。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2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Style w:val="14"/>
          <w:rFonts w:hint="eastAsia" w:ascii="仿宋_GB2312" w:hAnsi="仿宋_GB2312" w:eastAsia="仿宋_GB2312" w:cs="仿宋_GB2312"/>
          <w:sz w:val="28"/>
          <w:szCs w:val="28"/>
        </w:rPr>
        <w:t>从道前街到市府路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市府路，其名背后藏着千年的故事。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衡永郴桂道建制清朝，雍正十年，领衡州府、永州府、郴州，桂阳州，辖24个县。道署设衡阳，是湘南的政治军事中心。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“这条街巷的历史可追溯至唐代，是衡阳乃至湖南地区的重要地标。清宣统元年(1909年)，街上坐落着道署(即道台衙门)，此街称为道前街，它见证了衡永郴桂道署的辉煌。解放后，衡阳市人民政府搬迁到这里，此路因此改为市府路。”先锋街道党工委副书记、办事处主任徐若凯介绍道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486400" cy="3657600"/>
            <wp:effectExtent l="0" t="0" r="0" b="0"/>
            <wp:docPr id="13" name="图片 14" descr="8d3003ed2a1208306f63bc05daeae2a.marked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8d3003ed2a1208306f63bc05daeae2a.marked.jpg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300" w:afterAutospacing="0" w:line="360" w:lineRule="auto"/>
        <w:ind w:left="0" w:right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color w:val="777777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777777"/>
          <w:sz w:val="28"/>
          <w:szCs w:val="28"/>
        </w:rPr>
        <w:t>位于衡阳市雁峰区的衡永郴桂道署旧址。（摄影/欧红宇）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衡永郴桂道道署作为历史遗迹的传承，是本次市府路改造的重点。现场可以看到，以重建衡永郴桂道入口门楼、大堂、清风亭及道署、文化迴廊、文化墙、文化园等设施为核心，工作人员还对地面石材、文化墙、强弱电、立面等进行了改造升级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如今，来到市府路，你可以走进衡永郴桂道道署，聆听历史的古老声音，感受传统文化的魅力，体验趣味的打卡拍照，身临其境地感受衡阳丰富的历史文化底蕴和那段风云变幻的历史。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据悉，通过“最小干预、最大保护”的方式，市府路美食文化街区在保留原有风貌的基础上，让古朴庄重的道台衙门与繁华的美食街交相辉映，让人在品味历史的同时，也能感受到城市的温度。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2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Style w:val="14"/>
          <w:rFonts w:hint="eastAsia" w:ascii="仿宋_GB2312" w:hAnsi="仿宋_GB2312" w:eastAsia="仿宋_GB2312" w:cs="仿宋_GB2312"/>
          <w:sz w:val="28"/>
          <w:szCs w:val="28"/>
        </w:rPr>
        <w:t>新文旅街区的“变身”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市井繁华，烟火人间，走进一条街，品味一处景，读懂一座城。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放学、下班去市府路逛街、吃小吃，是衡阳人的专属回忆，这条路见证了衡阳经济的繁荣与起伏，也陪伴了一代又一代衡阳人，它的改造，也牵动着衡阳人的心。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firstLine="0" w:firstLineChars="0"/>
        <w:jc w:val="center"/>
        <w:textAlignment w:val="auto"/>
        <w:rPr>
          <w:rFonts w:hint="default" w:ascii="SourceHanSerifCN-Medium" w:hAnsi="SourceHanSerifCN-Medium" w:eastAsia="SourceHanSerifCN-Medium" w:cs="SourceHanSerifCN-Medium"/>
        </w:rPr>
      </w:pPr>
      <w:r>
        <w:rPr>
          <w:rFonts w:hint="default" w:ascii="SourceHanSerifCN-Medium" w:hAnsi="SourceHanSerifCN-Medium" w:eastAsia="SourceHanSerifCN-Medium" w:cs="SourceHanSerifCN-Medium"/>
        </w:rPr>
        <w:drawing>
          <wp:inline distT="0" distB="0" distL="114300" distR="114300">
            <wp:extent cx="5096510" cy="3397885"/>
            <wp:effectExtent l="0" t="0" r="8890" b="12065"/>
            <wp:docPr id="15" name="图片 15" descr="IMG_2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8"/>
                    <pic:cNvPicPr>
                      <a:picLocks noChangeAspect="true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300" w:afterAutospacing="0" w:line="360" w:lineRule="auto"/>
        <w:ind w:left="0" w:right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color w:val="777777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777777"/>
          <w:sz w:val="28"/>
          <w:szCs w:val="28"/>
        </w:rPr>
        <w:t>又“老”又“潮”的文旅街区。（摄影/欧红宇）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记者了解到，该区致力于把市府路打造成又“老”又“潮”的文旅街区。老是指历史味，“潮”是指时尚范。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改造后，它会有哪些变化呢？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——业态“焕新”，变得有了文化味。植入了书店、邮局、私人影院、密室逃脱、PS5体验馆、小酒馆、电竞电玩、文化市集等新业态，同时将大雁文化、爱情文化、非遗等元素巧妙融入，让游客一边体验、一边购买雁城风景邮戳等文创产品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769610" cy="3245485"/>
            <wp:effectExtent l="0" t="0" r="2540" b="12065"/>
            <wp:docPr id="16" name="图片 16" descr="IMG_25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9"/>
                    <pic:cNvPicPr>
                      <a:picLocks noChangeAspect="true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3245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300" w:afterAutospacing="0" w:line="360" w:lineRule="auto"/>
        <w:ind w:left="0" w:right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color w:val="777777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777777"/>
          <w:sz w:val="28"/>
          <w:szCs w:val="28"/>
        </w:rPr>
        <w:t>清晨的市府路戏台。（摄影/欧红宇）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2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Style w:val="14"/>
          <w:rFonts w:hint="eastAsia" w:ascii="仿宋_GB2312" w:hAnsi="仿宋_GB2312" w:eastAsia="仿宋_GB2312" w:cs="仿宋_GB2312"/>
          <w:sz w:val="28"/>
          <w:szCs w:val="28"/>
        </w:rPr>
        <w:t>——品牌“上新”，变得有了时尚范。</w:t>
      </w:r>
      <w:r>
        <w:rPr>
          <w:rFonts w:hint="eastAsia" w:ascii="仿宋_GB2312" w:hAnsi="仿宋_GB2312" w:eastAsia="仿宋_GB2312" w:cs="仿宋_GB2312"/>
          <w:sz w:val="28"/>
          <w:szCs w:val="28"/>
        </w:rPr>
        <w:t>美食街引进了茶颜悦色、囍堂小院等美食头牌，汇聚了卤虾、烧烤、臭豆腐等百余种特色小吃，成为年轻人集中打卡消费首选地。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2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Style w:val="14"/>
          <w:rFonts w:hint="eastAsia" w:ascii="仿宋_GB2312" w:hAnsi="仿宋_GB2312" w:eastAsia="仿宋_GB2312" w:cs="仿宋_GB2312"/>
          <w:sz w:val="28"/>
          <w:szCs w:val="28"/>
        </w:rPr>
        <w:t>——场景“更新”，变得有了烟火气。</w:t>
      </w:r>
      <w:r>
        <w:rPr>
          <w:rFonts w:hint="eastAsia" w:ascii="仿宋_GB2312" w:hAnsi="仿宋_GB2312" w:eastAsia="仿宋_GB2312" w:cs="仿宋_GB2312"/>
          <w:sz w:val="28"/>
          <w:szCs w:val="28"/>
        </w:rPr>
        <w:t>项目重现了衡州古城风情，同时设置了回雁台、“万里衡阳宴”文化墙等场景，形成“夜购、夜食、夜游、夜娱、夜读、夜秀”全域旅游模式。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2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Style w:val="14"/>
          <w:rFonts w:hint="eastAsia" w:ascii="仿宋_GB2312" w:hAnsi="仿宋_GB2312" w:eastAsia="仿宋_GB2312" w:cs="仿宋_GB2312"/>
          <w:sz w:val="28"/>
          <w:szCs w:val="28"/>
        </w:rPr>
        <w:t>——话题“创新”，变得有了流量度。</w:t>
      </w:r>
      <w:r>
        <w:rPr>
          <w:rFonts w:hint="eastAsia" w:ascii="仿宋_GB2312" w:hAnsi="仿宋_GB2312" w:eastAsia="仿宋_GB2312" w:cs="仿宋_GB2312"/>
          <w:sz w:val="28"/>
          <w:szCs w:val="28"/>
        </w:rPr>
        <w:t>做强“潮玩雁峰”活动品牌，做到每月有主题、每季有大戏、每年有节庆。</w:t>
      </w:r>
    </w:p>
    <w:p>
      <w:pPr>
        <w:pStyle w:val="9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left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作为“首批湖南省夜间消费聚集示范区”，改造后的市府路，将成为衡阳夜生活的首选之地。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360" w:lineRule="auto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3" w:lineRule="atLeast"/>
        <w:ind w:left="0" w:right="0" w:firstLine="0"/>
        <w:jc w:val="center"/>
        <w:rPr>
          <w:rFonts w:hint="eastAsia" w:ascii="仿宋_GB2312" w:hAnsi="仿宋_GB2312" w:eastAsia="仿宋_GB2312" w:cs="仿宋_GB2312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28"/>
          <w:szCs w:val="28"/>
          <w:lang w:val="en-US" w:eastAsia="zh-CN" w:bidi="ar-SA"/>
        </w:rPr>
        <w:t>大城之南·乐游雁峰⑧｜白沙大道工业文创街区：走进这里，读懂输变电之城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42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28"/>
          <w:szCs w:val="28"/>
          <w:lang w:val="en-US" w:eastAsia="zh-CN" w:bidi="ar-SA"/>
        </w:rPr>
        <w:t>编者按：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衡阳市雁峰区，是雁城衡阳的城市原点。天地大儒王船山在这里出生，老工业基地的最辉煌的一页在这里书写，雁城的标志大雁雕塑伫立在这里……乘着第三届湖南旅发大会的东风，这些文化元素有了“新生”。红网推出《大城之南·乐游雁峰》系列报道，以记者视角陪同大家游玩雁峰，穿越古今，做千年雁峰的第一批游客。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42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崭新的工业足球场、运动种类丰富的室内体育馆、复古气息满满的老照片打卡墙、温馨整洁的输变电人才公寓……衡阳市雁峰区白沙大道工业文创街区的打造，突出工业、惠民、记忆三个关键词。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42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白沙大道——位于衡阳市雁峰区，全长9.5公里，它与奔腾不息的湘江一起，搭建起一座“输变电之城”。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0"/>
        <w:jc w:val="center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614670" cy="2894965"/>
            <wp:effectExtent l="0" t="0" r="5080" b="635"/>
            <wp:docPr id="31" name="图片 1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56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894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0"/>
        <w:jc w:val="center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输变电之城文化墙。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42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雁峰区是衡阳市的老工业基地，白沙大道则是基地的“心脏”。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42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白沙大道工业文创街区，以挖掘衡阳输变电产业优势和历史沿革，实施了“唤醒老街区”的城市更新，按照“一街一区一核”的规划布局，全着力打造工业遗存保护区、特色旅游街区、双创产业园区、居民生活社区“四区融合”的特色城市更新片区，成为新的工业旅游打卡地，市民和游客的工业“后花园”。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420"/>
        <w:jc w:val="both"/>
        <w:rPr>
          <w:rFonts w:hint="eastAsia" w:ascii="仿宋_GB2312" w:hAnsi="仿宋_GB2312" w:eastAsia="仿宋_GB2312" w:cs="仿宋_GB2312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28"/>
          <w:szCs w:val="28"/>
          <w:lang w:val="en-US" w:eastAsia="zh-CN" w:bidi="ar-SA"/>
        </w:rPr>
        <w:t>触摸输变电之城的“心跳”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42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走进白沙大道，阳光透过老工厂的窗户，照亮了石板路和复古的工业建筑，昔日的工厂车间“变身”成为文化创意空间，处处都有历史的痕迹，但也处处透露着新生与活力。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42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雁峰区白沙洲街道党工委副书记旷智恺介绍，“白沙大道，见证了衡阳从一个传统农业城市向现代工业城市的转变，也是衡阳工业文明的摇篮。”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42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中国输变电看湖南，湖南输变电看衡阳，衡阳输变电看雁峰，而雁峰的输变电企业，基本集中在白沙大道。在这里，你可以探索衡阳输变电工业历史的起源。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42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上世纪五十年代，衡阳变压器厂入列中国四大变压器厂之一、湖南第一根塑料电线诞生于衡阳电缆厂、家居装修最佳组合“日丰管、金杯线”，金杯电缆、恒飞电缆双双荣获“中国驰名商标”……时光变幻，产品在更新换代，老物件、老照片里封存的记忆，更显可贵。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0"/>
        <w:jc w:val="center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614670" cy="3281045"/>
            <wp:effectExtent l="0" t="0" r="5080" b="14605"/>
            <wp:docPr id="28" name="图片 2" descr="IMG_2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IMG_257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281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0"/>
        <w:jc w:val="center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输变电工业小镇历史墙。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42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一条白沙大道，承载着几代工业人的回忆。项目中的白沙洲工业文化长廊，总长300米，包含“输变电之城”“工业历史记忆”两大板块，从图绘、“锈”墙、老物件、老照片里走进那段工业历史。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42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“电力天路”图绘上演绎着电从发电厂走进千家万户的整个过程；“锈”墙上的每一幅画面，每一行文字，记录着1938年—2024年输变电产业在衡阳的发展进程；由12张白沙洲片区工业企业的历史老照片组成的打卡墙和6个工业装置艺术打卡场景组成的打卡点，让游客体验工业历史与现代艺术的联动。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42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穿过衡纺机门口，行走在斑马线上，“坐标输变电，我在白沙洲”的文字和用变压器和电流元素构成的图案，仿佛能感受到电流在脚下穿梭。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42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输变电之城，在此刻变得具象化。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0"/>
        <w:jc w:val="center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614670" cy="3310255"/>
            <wp:effectExtent l="0" t="0" r="5080" b="4445"/>
            <wp:docPr id="29" name="图片 3" descr="IMG_2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 descr="IMG_258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310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0"/>
        <w:jc w:val="center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街区美景。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420"/>
        <w:jc w:val="both"/>
        <w:rPr>
          <w:rFonts w:hint="eastAsia" w:ascii="仿宋_GB2312" w:hAnsi="仿宋_GB2312" w:eastAsia="仿宋_GB2312" w:cs="仿宋_GB2312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28"/>
          <w:szCs w:val="28"/>
          <w:lang w:val="en-US" w:eastAsia="zh-CN" w:bidi="ar-SA"/>
        </w:rPr>
        <w:t>用心改造新老工业人的家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42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一代代工人创造了如今全国瞩目的输变电之城，上世纪至今，数以万计来自全国各地的工人来到衡阳，助力工业崛起的同时也在这里安了家。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42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这次改造，一个重点便是惠民。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42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“我们脚下这片绿茵，曾是四五十年前衡阳仅有的两个足球场之一，也是衡纺机职工挥洒汗水的足球场，曾一度荒芜废弃。”旷智恺介绍，“此次，我们还对球场进行了全方位、深层次的工业风改造，看台材质、周边设施等都展现出独特的工业魅力。”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0"/>
        <w:jc w:val="center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614670" cy="3409315"/>
            <wp:effectExtent l="0" t="0" r="5080" b="635"/>
            <wp:docPr id="27" name="图片 4" descr="IMG_25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 descr="IMG_259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40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0"/>
        <w:jc w:val="center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工业老设备。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42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记者了解到，白沙大道上的特变电工、金杯电缆、国创电力等企业，每年将近有300名的新进年轻工人。然而，部分年轻的产业工人面临着租房难题。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42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为了解决这一难题，该街道将按照“政府引导设计、企业出资建设、市场运营管理”的模式，与企业通力合作，共同规划了输变电人才公寓。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42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公寓一共6层、107间房，将成为部分来衡产业工人的第一个家。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42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“厂区变景区”逐渐成为现实，人才公寓旁充满年代感的三工区广场，工人文化宫改造的室内健身场馆，衡纺机防空洞改造的工业历史时光隧道……找回记忆的同时，也让这个“大家”变得更宜居。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0"/>
        <w:jc w:val="center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614670" cy="3637915"/>
            <wp:effectExtent l="0" t="0" r="5080" b="635"/>
            <wp:docPr id="30" name="图片 5" descr="IMG_26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 descr="IMG_260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63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0"/>
        <w:jc w:val="center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输变电人才公寓。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42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此外，在商业方面，该街道利用现有建筑资源，引入咖啡屋、花店、老式甜品店等经营业态，布置充满年代感的场景，设置怀旧风格游乐设施，让街区既有味道，又接地气；在白沙大道两厢，通过建造雕像和景观小品等方式，展现沿线企业杰出企业家和工匠的风采和成就，让人们感受到榜样的力量。</w:t>
      </w:r>
    </w:p>
    <w:p>
      <w:pPr>
        <w:pStyle w:val="9"/>
        <w:keepNext w:val="0"/>
        <w:keepLines w:val="0"/>
        <w:widowControl/>
        <w:suppressLineNumbers w:val="0"/>
        <w:wordWrap w:val="0"/>
        <w:spacing w:before="300" w:beforeAutospacing="0" w:after="150" w:afterAutospacing="0" w:line="27" w:lineRule="atLeast"/>
        <w:ind w:left="0" w:right="0" w:firstLine="42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  <w:t>一百年前，白沙洲见证了近代工业的萌芽生根，时光流转，如今依旧工厂林立，街区保留了大量工业时代的痕迹，更展示了输变电产业的耀眼成绩，让人踏进这里，便能感受到衡阳独特的工业魅力。</w:t>
      </w:r>
    </w:p>
    <w:p>
      <w:pPr>
        <w:pStyle w:val="9"/>
        <w:keepNext w:val="0"/>
        <w:keepLines w:val="0"/>
        <w:widowControl/>
        <w:suppressLineNumbers w:val="0"/>
        <w:jc w:val="both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 w:bidi="ar-SA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2098" w:right="1474" w:bottom="1984" w:left="1587" w:header="851" w:footer="992" w:gutter="0"/>
      <w:pgNumType w:fmt="numberInDash"/>
      <w:cols w:space="720" w:num="1"/>
      <w:docGrid w:type="lines" w:linePitch="31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___WRD_EMBED_SUB_38">
    <w:altName w:val="华文仿宋"/>
    <w:panose1 w:val="02010600030101010101"/>
    <w:charset w:val="86"/>
    <w:family w:val="modern"/>
    <w:pitch w:val="default"/>
    <w:sig w:usb0="00000000" w:usb1="00000000" w:usb2="0000000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ourceHanSerifCN-Medium">
    <w:altName w:val="汉仪仿宋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3099314"/>
    </w:sdtPr>
    <w:sdtContent>
      <w:p>
        <w:pPr>
          <w:pStyle w:val="6"/>
        </w:pPr>
        <w:r>
          <w:rPr>
            <w:rFonts w:asciiTheme="minorEastAsia" w:hAnsiTheme="minorEastAsia" w:eastAsiaTheme="minorEastAsia"/>
            <w:sz w:val="24"/>
            <w:szCs w:val="24"/>
          </w:rPr>
          <w:fldChar w:fldCharType="begin"/>
        </w:r>
        <w:r>
          <w:rPr>
            <w:rFonts w:asciiTheme="minorEastAsia" w:hAnsiTheme="minorEastAsia" w:eastAsiaTheme="minorEastAsia"/>
            <w:sz w:val="24"/>
            <w:szCs w:val="24"/>
          </w:rPr>
          <w:instrText xml:space="preserve"> PAGE   \* MERGEFORMAT </w:instrText>
        </w:r>
        <w:r>
          <w:rPr>
            <w:rFonts w:asciiTheme="minorEastAsia" w:hAnsiTheme="minorEastAsia" w:eastAsiaTheme="minorEastAsia"/>
            <w:sz w:val="24"/>
            <w:szCs w:val="24"/>
          </w:rPr>
          <w:fldChar w:fldCharType="separate"/>
        </w:r>
        <w:r>
          <w:rPr>
            <w:rFonts w:asciiTheme="minorEastAsia" w:hAnsiTheme="minorEastAsia" w:eastAsiaTheme="minorEastAsia"/>
            <w:sz w:val="24"/>
            <w:szCs w:val="24"/>
            <w:lang w:val="zh-CN"/>
          </w:rPr>
          <w:t>-</w:t>
        </w:r>
        <w:r>
          <w:rPr>
            <w:rFonts w:asciiTheme="minorEastAsia" w:hAnsiTheme="minorEastAsia" w:eastAsiaTheme="minorEastAsia"/>
            <w:sz w:val="24"/>
            <w:szCs w:val="24"/>
          </w:rPr>
          <w:t xml:space="preserve"> 2 -</w:t>
        </w:r>
        <w:r>
          <w:rPr>
            <w:rFonts w:asciiTheme="minorEastAsia" w:hAnsiTheme="minorEastAsia" w:eastAsiaTheme="minorEastAsia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ind w:firstLine="36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A9D9FC"/>
    <w:multiLevelType w:val="singleLevel"/>
    <w:tmpl w:val="01A9D9FC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true"/>
  <w:embedTrueTypeFonts/>
  <w:saveSubsetFonts/>
  <w:bordersDoNotSurroundHeader w:val="false"/>
  <w:bordersDoNotSurroundFooter w:val="false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1MmQ1ZmU3NzVhOWJiNWE0ZWE4MjM2NzE1Zjc0ZTkifQ=="/>
  </w:docVars>
  <w:rsids>
    <w:rsidRoot w:val="00525ED9"/>
    <w:rsid w:val="0001697D"/>
    <w:rsid w:val="00040D10"/>
    <w:rsid w:val="00090C8C"/>
    <w:rsid w:val="000B2E33"/>
    <w:rsid w:val="000B4E17"/>
    <w:rsid w:val="000C4BBE"/>
    <w:rsid w:val="000E4531"/>
    <w:rsid w:val="00100354"/>
    <w:rsid w:val="00114F37"/>
    <w:rsid w:val="00137CC0"/>
    <w:rsid w:val="001405AF"/>
    <w:rsid w:val="00155799"/>
    <w:rsid w:val="001A32E3"/>
    <w:rsid w:val="001B4FB3"/>
    <w:rsid w:val="001B56EF"/>
    <w:rsid w:val="001D6929"/>
    <w:rsid w:val="001F15F0"/>
    <w:rsid w:val="00200503"/>
    <w:rsid w:val="002068BA"/>
    <w:rsid w:val="00214E5F"/>
    <w:rsid w:val="002477D8"/>
    <w:rsid w:val="00250E00"/>
    <w:rsid w:val="002613A5"/>
    <w:rsid w:val="00267072"/>
    <w:rsid w:val="002A6E82"/>
    <w:rsid w:val="002D733F"/>
    <w:rsid w:val="002F6112"/>
    <w:rsid w:val="00314095"/>
    <w:rsid w:val="00360A86"/>
    <w:rsid w:val="00371381"/>
    <w:rsid w:val="0038447A"/>
    <w:rsid w:val="0038590F"/>
    <w:rsid w:val="00393010"/>
    <w:rsid w:val="00396DF3"/>
    <w:rsid w:val="003A3136"/>
    <w:rsid w:val="003A7EA1"/>
    <w:rsid w:val="003B32E9"/>
    <w:rsid w:val="003D3F90"/>
    <w:rsid w:val="003F6687"/>
    <w:rsid w:val="0041652D"/>
    <w:rsid w:val="00431AF4"/>
    <w:rsid w:val="00431D0E"/>
    <w:rsid w:val="00441FB5"/>
    <w:rsid w:val="00442D42"/>
    <w:rsid w:val="004435BF"/>
    <w:rsid w:val="004551AE"/>
    <w:rsid w:val="0045741F"/>
    <w:rsid w:val="00464611"/>
    <w:rsid w:val="004650F6"/>
    <w:rsid w:val="004D2395"/>
    <w:rsid w:val="004E0B6A"/>
    <w:rsid w:val="004F0CD3"/>
    <w:rsid w:val="004F48E0"/>
    <w:rsid w:val="00503290"/>
    <w:rsid w:val="005141DB"/>
    <w:rsid w:val="00525ED9"/>
    <w:rsid w:val="00551B84"/>
    <w:rsid w:val="005875F9"/>
    <w:rsid w:val="00595EB8"/>
    <w:rsid w:val="005A7973"/>
    <w:rsid w:val="005B03BF"/>
    <w:rsid w:val="005B6A0F"/>
    <w:rsid w:val="005F724C"/>
    <w:rsid w:val="0060453A"/>
    <w:rsid w:val="00636C0E"/>
    <w:rsid w:val="0067480B"/>
    <w:rsid w:val="00696C77"/>
    <w:rsid w:val="006A646B"/>
    <w:rsid w:val="006B0B58"/>
    <w:rsid w:val="006C1276"/>
    <w:rsid w:val="006E0959"/>
    <w:rsid w:val="006F22E7"/>
    <w:rsid w:val="00704937"/>
    <w:rsid w:val="0071307C"/>
    <w:rsid w:val="00723634"/>
    <w:rsid w:val="007813D3"/>
    <w:rsid w:val="00790A88"/>
    <w:rsid w:val="00796FA1"/>
    <w:rsid w:val="007A6FB8"/>
    <w:rsid w:val="007B45B1"/>
    <w:rsid w:val="007B6FD1"/>
    <w:rsid w:val="007C69A3"/>
    <w:rsid w:val="007D167B"/>
    <w:rsid w:val="007E2ADC"/>
    <w:rsid w:val="007E6395"/>
    <w:rsid w:val="00803C7D"/>
    <w:rsid w:val="00856307"/>
    <w:rsid w:val="00871957"/>
    <w:rsid w:val="008829F3"/>
    <w:rsid w:val="008B143A"/>
    <w:rsid w:val="008C1604"/>
    <w:rsid w:val="008D7B00"/>
    <w:rsid w:val="008F2CB6"/>
    <w:rsid w:val="00902FC2"/>
    <w:rsid w:val="00913115"/>
    <w:rsid w:val="00962CF7"/>
    <w:rsid w:val="0096466B"/>
    <w:rsid w:val="009714B4"/>
    <w:rsid w:val="00976D49"/>
    <w:rsid w:val="0098021E"/>
    <w:rsid w:val="009839C4"/>
    <w:rsid w:val="009B66EB"/>
    <w:rsid w:val="009D0D7B"/>
    <w:rsid w:val="009D639A"/>
    <w:rsid w:val="009F1EC6"/>
    <w:rsid w:val="00A11441"/>
    <w:rsid w:val="00A16A97"/>
    <w:rsid w:val="00A16CE1"/>
    <w:rsid w:val="00A27308"/>
    <w:rsid w:val="00A603D4"/>
    <w:rsid w:val="00A73D1A"/>
    <w:rsid w:val="00A82E65"/>
    <w:rsid w:val="00A90CBF"/>
    <w:rsid w:val="00A97C4E"/>
    <w:rsid w:val="00AA4D83"/>
    <w:rsid w:val="00B03833"/>
    <w:rsid w:val="00B058E1"/>
    <w:rsid w:val="00B46D42"/>
    <w:rsid w:val="00B651A4"/>
    <w:rsid w:val="00B74A40"/>
    <w:rsid w:val="00BA12A8"/>
    <w:rsid w:val="00BF0179"/>
    <w:rsid w:val="00BF0C6E"/>
    <w:rsid w:val="00BF18E0"/>
    <w:rsid w:val="00C01D15"/>
    <w:rsid w:val="00C06BBA"/>
    <w:rsid w:val="00C206BD"/>
    <w:rsid w:val="00C25C73"/>
    <w:rsid w:val="00C325A4"/>
    <w:rsid w:val="00C502A0"/>
    <w:rsid w:val="00C56B47"/>
    <w:rsid w:val="00C93D5D"/>
    <w:rsid w:val="00C94C79"/>
    <w:rsid w:val="00CA1E62"/>
    <w:rsid w:val="00CC01FF"/>
    <w:rsid w:val="00D224F5"/>
    <w:rsid w:val="00D90088"/>
    <w:rsid w:val="00D90B07"/>
    <w:rsid w:val="00D90BA4"/>
    <w:rsid w:val="00D95FB0"/>
    <w:rsid w:val="00D978AF"/>
    <w:rsid w:val="00DA7037"/>
    <w:rsid w:val="00DC251F"/>
    <w:rsid w:val="00E33D9D"/>
    <w:rsid w:val="00E4320E"/>
    <w:rsid w:val="00E5717A"/>
    <w:rsid w:val="00E801E9"/>
    <w:rsid w:val="00EA5C19"/>
    <w:rsid w:val="00EB5FF5"/>
    <w:rsid w:val="00EC729E"/>
    <w:rsid w:val="00ED0D3D"/>
    <w:rsid w:val="00EE30D2"/>
    <w:rsid w:val="00EE456C"/>
    <w:rsid w:val="00F04DCB"/>
    <w:rsid w:val="00F100F9"/>
    <w:rsid w:val="00F37A1E"/>
    <w:rsid w:val="00F44FBD"/>
    <w:rsid w:val="00F55E25"/>
    <w:rsid w:val="00F6463A"/>
    <w:rsid w:val="00FD3CF5"/>
    <w:rsid w:val="00FE7A55"/>
    <w:rsid w:val="01487F1A"/>
    <w:rsid w:val="018502B5"/>
    <w:rsid w:val="01DC65FE"/>
    <w:rsid w:val="01FA65AD"/>
    <w:rsid w:val="02EB05EB"/>
    <w:rsid w:val="035D4076"/>
    <w:rsid w:val="03C50E3C"/>
    <w:rsid w:val="040354C1"/>
    <w:rsid w:val="045E3E52"/>
    <w:rsid w:val="04BD6729"/>
    <w:rsid w:val="05717BC9"/>
    <w:rsid w:val="05870593"/>
    <w:rsid w:val="05A247BE"/>
    <w:rsid w:val="05C829BD"/>
    <w:rsid w:val="060043AE"/>
    <w:rsid w:val="06B225CD"/>
    <w:rsid w:val="072E58CA"/>
    <w:rsid w:val="07542853"/>
    <w:rsid w:val="07A92CB5"/>
    <w:rsid w:val="07B74F40"/>
    <w:rsid w:val="080460C1"/>
    <w:rsid w:val="08220DD1"/>
    <w:rsid w:val="08512C9F"/>
    <w:rsid w:val="08ED13C8"/>
    <w:rsid w:val="093E06F6"/>
    <w:rsid w:val="098F1CD1"/>
    <w:rsid w:val="09A60DC8"/>
    <w:rsid w:val="0BB023D2"/>
    <w:rsid w:val="0C264442"/>
    <w:rsid w:val="0C34090D"/>
    <w:rsid w:val="0C796C68"/>
    <w:rsid w:val="0CA078A8"/>
    <w:rsid w:val="0D195035"/>
    <w:rsid w:val="0D2E71C3"/>
    <w:rsid w:val="0D3D456E"/>
    <w:rsid w:val="0D6C4970"/>
    <w:rsid w:val="0D9E2273"/>
    <w:rsid w:val="0DBC505E"/>
    <w:rsid w:val="0E0E518E"/>
    <w:rsid w:val="0E3E0A5F"/>
    <w:rsid w:val="0F294935"/>
    <w:rsid w:val="0F302661"/>
    <w:rsid w:val="0F6F22C3"/>
    <w:rsid w:val="0FCB64BA"/>
    <w:rsid w:val="100A4794"/>
    <w:rsid w:val="108300B5"/>
    <w:rsid w:val="10DB3A4D"/>
    <w:rsid w:val="111A7341"/>
    <w:rsid w:val="12341D77"/>
    <w:rsid w:val="124A0DD3"/>
    <w:rsid w:val="12652C4E"/>
    <w:rsid w:val="12747CB6"/>
    <w:rsid w:val="128F4AEF"/>
    <w:rsid w:val="129C0FBA"/>
    <w:rsid w:val="134005C3"/>
    <w:rsid w:val="137A57A0"/>
    <w:rsid w:val="13E76BAD"/>
    <w:rsid w:val="149C5734"/>
    <w:rsid w:val="14CD28D8"/>
    <w:rsid w:val="14CFB749"/>
    <w:rsid w:val="14DF46E5"/>
    <w:rsid w:val="15835C91"/>
    <w:rsid w:val="15CA5E3E"/>
    <w:rsid w:val="16CD3E38"/>
    <w:rsid w:val="16D90A2F"/>
    <w:rsid w:val="17312025"/>
    <w:rsid w:val="17F74891"/>
    <w:rsid w:val="18925339"/>
    <w:rsid w:val="189A735D"/>
    <w:rsid w:val="192E7EFC"/>
    <w:rsid w:val="1990114D"/>
    <w:rsid w:val="1A40783E"/>
    <w:rsid w:val="1A9A08E4"/>
    <w:rsid w:val="1B36114B"/>
    <w:rsid w:val="1B4A31C3"/>
    <w:rsid w:val="1B8678BA"/>
    <w:rsid w:val="1BD550D8"/>
    <w:rsid w:val="1C9913FB"/>
    <w:rsid w:val="1CFA43EB"/>
    <w:rsid w:val="1D7F1C04"/>
    <w:rsid w:val="1DEF487F"/>
    <w:rsid w:val="1DF67BCD"/>
    <w:rsid w:val="1E1E4874"/>
    <w:rsid w:val="1E285D2C"/>
    <w:rsid w:val="1E45376A"/>
    <w:rsid w:val="1E660346"/>
    <w:rsid w:val="1ED579E5"/>
    <w:rsid w:val="1EFD27E9"/>
    <w:rsid w:val="1F1B6BD0"/>
    <w:rsid w:val="1F1C595D"/>
    <w:rsid w:val="1F5F8D0B"/>
    <w:rsid w:val="1F8B2F26"/>
    <w:rsid w:val="1FB31C38"/>
    <w:rsid w:val="1FBC0FFD"/>
    <w:rsid w:val="1FF23C3E"/>
    <w:rsid w:val="1FF8227D"/>
    <w:rsid w:val="21BF4CC5"/>
    <w:rsid w:val="224330C0"/>
    <w:rsid w:val="2245341D"/>
    <w:rsid w:val="22B47A91"/>
    <w:rsid w:val="23294515"/>
    <w:rsid w:val="232C7F4F"/>
    <w:rsid w:val="235E6C18"/>
    <w:rsid w:val="23D83E1C"/>
    <w:rsid w:val="242F6132"/>
    <w:rsid w:val="24F96E9F"/>
    <w:rsid w:val="253152E6"/>
    <w:rsid w:val="25C837E5"/>
    <w:rsid w:val="26020331"/>
    <w:rsid w:val="260A1C7C"/>
    <w:rsid w:val="26BD0DE6"/>
    <w:rsid w:val="26EC571C"/>
    <w:rsid w:val="26F975FA"/>
    <w:rsid w:val="27046EC8"/>
    <w:rsid w:val="27210100"/>
    <w:rsid w:val="27B0181F"/>
    <w:rsid w:val="29642561"/>
    <w:rsid w:val="29776DD1"/>
    <w:rsid w:val="2A0337BC"/>
    <w:rsid w:val="2A6F0AA8"/>
    <w:rsid w:val="2AB47391"/>
    <w:rsid w:val="2AF4778E"/>
    <w:rsid w:val="2AFB933C"/>
    <w:rsid w:val="2BB213EE"/>
    <w:rsid w:val="2BEB1B65"/>
    <w:rsid w:val="2C4C08C3"/>
    <w:rsid w:val="2C576226"/>
    <w:rsid w:val="2C90798A"/>
    <w:rsid w:val="2D414EA0"/>
    <w:rsid w:val="2EDB68A4"/>
    <w:rsid w:val="2F7964B4"/>
    <w:rsid w:val="2F81180C"/>
    <w:rsid w:val="2FA81156"/>
    <w:rsid w:val="2FAF45CB"/>
    <w:rsid w:val="2FDBFB73"/>
    <w:rsid w:val="2FEE1A5B"/>
    <w:rsid w:val="30484CD3"/>
    <w:rsid w:val="30534069"/>
    <w:rsid w:val="305D1B42"/>
    <w:rsid w:val="306C399F"/>
    <w:rsid w:val="30AA0091"/>
    <w:rsid w:val="31452F22"/>
    <w:rsid w:val="31B61C41"/>
    <w:rsid w:val="32404F7F"/>
    <w:rsid w:val="32843928"/>
    <w:rsid w:val="32854947"/>
    <w:rsid w:val="335078B5"/>
    <w:rsid w:val="339266A4"/>
    <w:rsid w:val="33D740F0"/>
    <w:rsid w:val="33D83E90"/>
    <w:rsid w:val="34247FB4"/>
    <w:rsid w:val="3427589B"/>
    <w:rsid w:val="342B35AE"/>
    <w:rsid w:val="347760EF"/>
    <w:rsid w:val="34B2064F"/>
    <w:rsid w:val="34BF520A"/>
    <w:rsid w:val="34CD495A"/>
    <w:rsid w:val="34DD74E5"/>
    <w:rsid w:val="35660394"/>
    <w:rsid w:val="359C2EFC"/>
    <w:rsid w:val="36037E55"/>
    <w:rsid w:val="364A6072"/>
    <w:rsid w:val="36796F3F"/>
    <w:rsid w:val="368E25D2"/>
    <w:rsid w:val="36B77E14"/>
    <w:rsid w:val="36D37D9A"/>
    <w:rsid w:val="36F9612C"/>
    <w:rsid w:val="37164497"/>
    <w:rsid w:val="3725715F"/>
    <w:rsid w:val="374F2A99"/>
    <w:rsid w:val="377434BB"/>
    <w:rsid w:val="38556526"/>
    <w:rsid w:val="38CC1783"/>
    <w:rsid w:val="38DB580F"/>
    <w:rsid w:val="395F08D1"/>
    <w:rsid w:val="39AE065F"/>
    <w:rsid w:val="39C1438B"/>
    <w:rsid w:val="39E90B36"/>
    <w:rsid w:val="39E9734F"/>
    <w:rsid w:val="3A2C2CB0"/>
    <w:rsid w:val="3AA21D55"/>
    <w:rsid w:val="3AB64A60"/>
    <w:rsid w:val="3B293484"/>
    <w:rsid w:val="3B547DD5"/>
    <w:rsid w:val="3B5B2AEF"/>
    <w:rsid w:val="3B9D53EF"/>
    <w:rsid w:val="3C302CE5"/>
    <w:rsid w:val="3CAC9A8C"/>
    <w:rsid w:val="3CBA43D0"/>
    <w:rsid w:val="3D021696"/>
    <w:rsid w:val="3D170D8A"/>
    <w:rsid w:val="3D4E0F7F"/>
    <w:rsid w:val="3DDF59D5"/>
    <w:rsid w:val="3E1D461D"/>
    <w:rsid w:val="3E412892"/>
    <w:rsid w:val="3E4E4300"/>
    <w:rsid w:val="3EF101E4"/>
    <w:rsid w:val="3FA3A3A8"/>
    <w:rsid w:val="3FA75717"/>
    <w:rsid w:val="3FC75019"/>
    <w:rsid w:val="406311E6"/>
    <w:rsid w:val="40746AED"/>
    <w:rsid w:val="416C16AB"/>
    <w:rsid w:val="41C061C4"/>
    <w:rsid w:val="41F10FE6"/>
    <w:rsid w:val="423D4620"/>
    <w:rsid w:val="42411F5E"/>
    <w:rsid w:val="424663A9"/>
    <w:rsid w:val="424E575C"/>
    <w:rsid w:val="42935169"/>
    <w:rsid w:val="42E27550"/>
    <w:rsid w:val="45186B72"/>
    <w:rsid w:val="452C346B"/>
    <w:rsid w:val="453F38A4"/>
    <w:rsid w:val="45440EBA"/>
    <w:rsid w:val="459E3CDE"/>
    <w:rsid w:val="469B3DDE"/>
    <w:rsid w:val="46E97639"/>
    <w:rsid w:val="46EA5676"/>
    <w:rsid w:val="472F1E22"/>
    <w:rsid w:val="47476354"/>
    <w:rsid w:val="47664E5A"/>
    <w:rsid w:val="47DC5987"/>
    <w:rsid w:val="4884400B"/>
    <w:rsid w:val="48B832A1"/>
    <w:rsid w:val="48F03833"/>
    <w:rsid w:val="4931645A"/>
    <w:rsid w:val="49995E2C"/>
    <w:rsid w:val="4A7F11E5"/>
    <w:rsid w:val="4AB51578"/>
    <w:rsid w:val="4B3C0B57"/>
    <w:rsid w:val="4B960C43"/>
    <w:rsid w:val="4BA66100"/>
    <w:rsid w:val="4BE618F7"/>
    <w:rsid w:val="4C680575"/>
    <w:rsid w:val="4C7B3413"/>
    <w:rsid w:val="4CB20980"/>
    <w:rsid w:val="4D38013A"/>
    <w:rsid w:val="4DC67E79"/>
    <w:rsid w:val="4E1458CD"/>
    <w:rsid w:val="4E945447"/>
    <w:rsid w:val="4E9E7CED"/>
    <w:rsid w:val="4EB84B73"/>
    <w:rsid w:val="4F1D07B2"/>
    <w:rsid w:val="4F204746"/>
    <w:rsid w:val="4F5346D7"/>
    <w:rsid w:val="4FFC3C6D"/>
    <w:rsid w:val="50217E7C"/>
    <w:rsid w:val="506208E0"/>
    <w:rsid w:val="50A33261"/>
    <w:rsid w:val="50F934A0"/>
    <w:rsid w:val="5133250E"/>
    <w:rsid w:val="52A75231"/>
    <w:rsid w:val="52B551A5"/>
    <w:rsid w:val="52E141EC"/>
    <w:rsid w:val="536C1D08"/>
    <w:rsid w:val="53781719"/>
    <w:rsid w:val="53D3424C"/>
    <w:rsid w:val="542C167B"/>
    <w:rsid w:val="543D1162"/>
    <w:rsid w:val="54484523"/>
    <w:rsid w:val="544D237D"/>
    <w:rsid w:val="545E6980"/>
    <w:rsid w:val="547E6196"/>
    <w:rsid w:val="54E952BF"/>
    <w:rsid w:val="558622F2"/>
    <w:rsid w:val="5593725C"/>
    <w:rsid w:val="55BB24ED"/>
    <w:rsid w:val="55C4167A"/>
    <w:rsid w:val="55F71D73"/>
    <w:rsid w:val="563A77E5"/>
    <w:rsid w:val="569071B7"/>
    <w:rsid w:val="56C14920"/>
    <w:rsid w:val="56F049FE"/>
    <w:rsid w:val="56F97D56"/>
    <w:rsid w:val="56FD5A28"/>
    <w:rsid w:val="57344D76"/>
    <w:rsid w:val="5742515A"/>
    <w:rsid w:val="574735EC"/>
    <w:rsid w:val="57811773"/>
    <w:rsid w:val="578E4942"/>
    <w:rsid w:val="57AF6093"/>
    <w:rsid w:val="57D305A7"/>
    <w:rsid w:val="57F9198D"/>
    <w:rsid w:val="580A4521"/>
    <w:rsid w:val="58222490"/>
    <w:rsid w:val="584D06BB"/>
    <w:rsid w:val="58711B6E"/>
    <w:rsid w:val="58EC60CF"/>
    <w:rsid w:val="59684D1F"/>
    <w:rsid w:val="59BF09A6"/>
    <w:rsid w:val="5A113609"/>
    <w:rsid w:val="5A1E1882"/>
    <w:rsid w:val="5A3C41EF"/>
    <w:rsid w:val="5A7349A7"/>
    <w:rsid w:val="5A83129B"/>
    <w:rsid w:val="5AFB59F3"/>
    <w:rsid w:val="5AFD593B"/>
    <w:rsid w:val="5B2C01D0"/>
    <w:rsid w:val="5B4F6AF5"/>
    <w:rsid w:val="5B7420A1"/>
    <w:rsid w:val="5B9B5C24"/>
    <w:rsid w:val="5BB97AB4"/>
    <w:rsid w:val="5BC76675"/>
    <w:rsid w:val="5C4B16CD"/>
    <w:rsid w:val="5CC03BDF"/>
    <w:rsid w:val="5D8B0215"/>
    <w:rsid w:val="5DE75D58"/>
    <w:rsid w:val="5DEF5132"/>
    <w:rsid w:val="5E08087F"/>
    <w:rsid w:val="5E3D2C1E"/>
    <w:rsid w:val="5EC61C02"/>
    <w:rsid w:val="5EF157B7"/>
    <w:rsid w:val="5EF24ECA"/>
    <w:rsid w:val="5EFEFA56"/>
    <w:rsid w:val="5F645C03"/>
    <w:rsid w:val="5FB74FF4"/>
    <w:rsid w:val="5FCCB831"/>
    <w:rsid w:val="5FF37501"/>
    <w:rsid w:val="5FFD7E11"/>
    <w:rsid w:val="5FFE15FE"/>
    <w:rsid w:val="614222FA"/>
    <w:rsid w:val="61A6DED6"/>
    <w:rsid w:val="62606EDB"/>
    <w:rsid w:val="626A7D5A"/>
    <w:rsid w:val="62944D08"/>
    <w:rsid w:val="62C03E1E"/>
    <w:rsid w:val="630F0A22"/>
    <w:rsid w:val="634A45AF"/>
    <w:rsid w:val="63AB77C4"/>
    <w:rsid w:val="63EA1F35"/>
    <w:rsid w:val="641536BE"/>
    <w:rsid w:val="64460353"/>
    <w:rsid w:val="64776E98"/>
    <w:rsid w:val="64DD0CB7"/>
    <w:rsid w:val="64F14158"/>
    <w:rsid w:val="64F32289"/>
    <w:rsid w:val="659C04AC"/>
    <w:rsid w:val="67683120"/>
    <w:rsid w:val="67AD7687"/>
    <w:rsid w:val="67BF40F1"/>
    <w:rsid w:val="67C11D3B"/>
    <w:rsid w:val="684A4049"/>
    <w:rsid w:val="68500C26"/>
    <w:rsid w:val="68BE2BAE"/>
    <w:rsid w:val="68D47D3C"/>
    <w:rsid w:val="69054FFE"/>
    <w:rsid w:val="696F0805"/>
    <w:rsid w:val="69EF5A1C"/>
    <w:rsid w:val="69F61ED3"/>
    <w:rsid w:val="6A0D5C85"/>
    <w:rsid w:val="6A1E12D2"/>
    <w:rsid w:val="6A476592"/>
    <w:rsid w:val="6A9753D7"/>
    <w:rsid w:val="6A9E2C97"/>
    <w:rsid w:val="6B272CBA"/>
    <w:rsid w:val="6BBD714D"/>
    <w:rsid w:val="6C8F4DD5"/>
    <w:rsid w:val="6C9D2ADA"/>
    <w:rsid w:val="6D0B06AE"/>
    <w:rsid w:val="6D345881"/>
    <w:rsid w:val="6DAA3701"/>
    <w:rsid w:val="6DB868EA"/>
    <w:rsid w:val="6DD45B80"/>
    <w:rsid w:val="6DEF7D35"/>
    <w:rsid w:val="6DFBFD4C"/>
    <w:rsid w:val="6E363824"/>
    <w:rsid w:val="6E9C4B53"/>
    <w:rsid w:val="6F125A01"/>
    <w:rsid w:val="6F216331"/>
    <w:rsid w:val="6F2474E3"/>
    <w:rsid w:val="6F451933"/>
    <w:rsid w:val="6F9FF117"/>
    <w:rsid w:val="6FE835D5"/>
    <w:rsid w:val="70384FF4"/>
    <w:rsid w:val="70667240"/>
    <w:rsid w:val="70A26911"/>
    <w:rsid w:val="70D016D0"/>
    <w:rsid w:val="70F57389"/>
    <w:rsid w:val="71535E5D"/>
    <w:rsid w:val="71771B4C"/>
    <w:rsid w:val="719569C7"/>
    <w:rsid w:val="71AD1A11"/>
    <w:rsid w:val="72061D09"/>
    <w:rsid w:val="72525EE8"/>
    <w:rsid w:val="726D4021"/>
    <w:rsid w:val="72B017B9"/>
    <w:rsid w:val="72E01973"/>
    <w:rsid w:val="734FDDBC"/>
    <w:rsid w:val="73DB0915"/>
    <w:rsid w:val="74244C04"/>
    <w:rsid w:val="746F7452"/>
    <w:rsid w:val="7471702B"/>
    <w:rsid w:val="749D3FBF"/>
    <w:rsid w:val="760F4A49"/>
    <w:rsid w:val="76880357"/>
    <w:rsid w:val="769515F9"/>
    <w:rsid w:val="76EE56F7"/>
    <w:rsid w:val="770E179B"/>
    <w:rsid w:val="77B771E8"/>
    <w:rsid w:val="77FB153D"/>
    <w:rsid w:val="77FD1F27"/>
    <w:rsid w:val="78282487"/>
    <w:rsid w:val="7877452E"/>
    <w:rsid w:val="7878641F"/>
    <w:rsid w:val="787A6483"/>
    <w:rsid w:val="78E35A9E"/>
    <w:rsid w:val="797804D9"/>
    <w:rsid w:val="79BF345C"/>
    <w:rsid w:val="7A0128FA"/>
    <w:rsid w:val="7AAF0985"/>
    <w:rsid w:val="7AB9548E"/>
    <w:rsid w:val="7ADB9BE3"/>
    <w:rsid w:val="7B396477"/>
    <w:rsid w:val="7B7B1B87"/>
    <w:rsid w:val="7B897830"/>
    <w:rsid w:val="7B921B84"/>
    <w:rsid w:val="7BA27BB7"/>
    <w:rsid w:val="7BB74EC2"/>
    <w:rsid w:val="7BC66560"/>
    <w:rsid w:val="7BDD3A31"/>
    <w:rsid w:val="7BE36E28"/>
    <w:rsid w:val="7BE71AF9"/>
    <w:rsid w:val="7BF13036"/>
    <w:rsid w:val="7C374C84"/>
    <w:rsid w:val="7C773348"/>
    <w:rsid w:val="7CB43F7A"/>
    <w:rsid w:val="7CCE4769"/>
    <w:rsid w:val="7CE11825"/>
    <w:rsid w:val="7CE443B9"/>
    <w:rsid w:val="7D221505"/>
    <w:rsid w:val="7D2BEDDF"/>
    <w:rsid w:val="7D6A3EAD"/>
    <w:rsid w:val="7D6C7864"/>
    <w:rsid w:val="7D6F6458"/>
    <w:rsid w:val="7D724989"/>
    <w:rsid w:val="7DE70EF5"/>
    <w:rsid w:val="7E076E97"/>
    <w:rsid w:val="7E310F98"/>
    <w:rsid w:val="7E5ED611"/>
    <w:rsid w:val="7F17FB8D"/>
    <w:rsid w:val="7F2A46A1"/>
    <w:rsid w:val="7F93AC3C"/>
    <w:rsid w:val="7FFB7DEC"/>
    <w:rsid w:val="9EFD9A38"/>
    <w:rsid w:val="AFB7F402"/>
    <w:rsid w:val="B1B85524"/>
    <w:rsid w:val="B77B3E8D"/>
    <w:rsid w:val="B7F5A385"/>
    <w:rsid w:val="BBEF7F74"/>
    <w:rsid w:val="BBF76E8D"/>
    <w:rsid w:val="BF3E7E1F"/>
    <w:rsid w:val="BFF5A8BD"/>
    <w:rsid w:val="CFBED1C2"/>
    <w:rsid w:val="D6ED3902"/>
    <w:rsid w:val="D7FDDCA0"/>
    <w:rsid w:val="D8FE32EF"/>
    <w:rsid w:val="DB7C62D8"/>
    <w:rsid w:val="DB7CF54D"/>
    <w:rsid w:val="DBBDFEC6"/>
    <w:rsid w:val="DBCFB412"/>
    <w:rsid w:val="DC3D4F54"/>
    <w:rsid w:val="DFFF8583"/>
    <w:rsid w:val="E7CAB480"/>
    <w:rsid w:val="EE7CE131"/>
    <w:rsid w:val="EF1FDCD3"/>
    <w:rsid w:val="EF97BB94"/>
    <w:rsid w:val="F3806552"/>
    <w:rsid w:val="F3FB504B"/>
    <w:rsid w:val="F473083A"/>
    <w:rsid w:val="F4BD8BB0"/>
    <w:rsid w:val="F77F473F"/>
    <w:rsid w:val="F7E91C2F"/>
    <w:rsid w:val="F7F70752"/>
    <w:rsid w:val="F7FE6721"/>
    <w:rsid w:val="F7FF455C"/>
    <w:rsid w:val="F7FF8EE4"/>
    <w:rsid w:val="F83D4E93"/>
    <w:rsid w:val="F8EEDA07"/>
    <w:rsid w:val="F937D46D"/>
    <w:rsid w:val="F9FBE9B7"/>
    <w:rsid w:val="FB2FCAD8"/>
    <w:rsid w:val="FDBE5A0B"/>
    <w:rsid w:val="FDFEFD1C"/>
    <w:rsid w:val="FEFB0B36"/>
    <w:rsid w:val="FFDF505E"/>
    <w:rsid w:val="FFEB7F75"/>
    <w:rsid w:val="FFEBF873"/>
    <w:rsid w:val="FFEED491"/>
    <w:rsid w:val="FFFFD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center"/>
    </w:pPr>
    <w:rPr>
      <w:rFonts w:ascii="仿宋_GB2312" w:hAnsi="Times New Roman" w:eastAsia="仿宋_GB2312" w:cs="Times New Roman"/>
      <w:kern w:val="2"/>
      <w:sz w:val="24"/>
      <w:szCs w:val="24"/>
      <w:lang w:val="en-US" w:eastAsia="zh-CN" w:bidi="ar-SA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3"/>
    <w:basedOn w:val="1"/>
    <w:unhideWhenUsed/>
    <w:qFormat/>
    <w:uiPriority w:val="99"/>
    <w:pPr>
      <w:spacing w:after="120"/>
    </w:pPr>
    <w:rPr>
      <w:sz w:val="16"/>
      <w:szCs w:val="16"/>
    </w:rPr>
  </w:style>
  <w:style w:type="paragraph" w:styleId="3">
    <w:name w:val="Body Text Indent"/>
    <w:basedOn w:val="1"/>
    <w:qFormat/>
    <w:uiPriority w:val="0"/>
    <w:pPr>
      <w:spacing w:line="460" w:lineRule="exact"/>
      <w:ind w:firstLine="585" w:firstLineChars="195"/>
    </w:pPr>
    <w:rPr>
      <w:sz w:val="30"/>
    </w:rPr>
  </w:style>
  <w:style w:type="paragraph" w:styleId="4">
    <w:name w:val="Date"/>
    <w:basedOn w:val="1"/>
    <w:next w:val="1"/>
    <w:link w:val="18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23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6">
    <w:name w:val="footer"/>
    <w:basedOn w:val="1"/>
    <w:link w:val="20"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="Times New Roman" w:eastAsia="宋体"/>
      <w:sz w:val="18"/>
      <w:szCs w:val="18"/>
    </w:rPr>
  </w:style>
  <w:style w:type="paragraph" w:styleId="7">
    <w:name w:val="header"/>
    <w:basedOn w:val="1"/>
    <w:link w:val="2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8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/>
      <w:kern w:val="0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paragraph" w:styleId="10">
    <w:name w:val="Body Text First Indent 2"/>
    <w:basedOn w:val="3"/>
    <w:qFormat/>
    <w:uiPriority w:val="0"/>
    <w:pPr>
      <w:spacing w:line="240" w:lineRule="auto"/>
      <w:ind w:firstLine="560" w:firstLineChars="200"/>
      <w:jc w:val="left"/>
    </w:pPr>
    <w:rPr>
      <w:rFonts w:asciiTheme="majorEastAsia" w:hAnsiTheme="majorEastAsia" w:eastAsiaTheme="majorEastAsia"/>
      <w:bCs/>
      <w:color w:val="000000"/>
      <w:sz w:val="28"/>
      <w:szCs w:val="28"/>
    </w:r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qFormat/>
    <w:uiPriority w:val="0"/>
  </w:style>
  <w:style w:type="character" w:styleId="16">
    <w:name w:val="FollowedHyperlink"/>
    <w:basedOn w:val="13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3"/>
    <w:qFormat/>
    <w:uiPriority w:val="0"/>
    <w:rPr>
      <w:color w:val="0000FF"/>
      <w:u w:val="single"/>
    </w:rPr>
  </w:style>
  <w:style w:type="character" w:customStyle="1" w:styleId="18">
    <w:name w:val="日期 Char"/>
    <w:basedOn w:val="13"/>
    <w:link w:val="4"/>
    <w:semiHidden/>
    <w:qFormat/>
    <w:uiPriority w:val="99"/>
  </w:style>
  <w:style w:type="character" w:customStyle="1" w:styleId="19">
    <w:name w:val="公文正文 仿宋_GB2312 三号"/>
    <w:basedOn w:val="13"/>
    <w:qFormat/>
    <w:uiPriority w:val="0"/>
    <w:rPr>
      <w:rFonts w:ascii="仿宋_GB2312" w:hAnsi="仿宋_GB2312" w:eastAsia="仿宋_GB2312"/>
      <w:sz w:val="32"/>
    </w:rPr>
  </w:style>
  <w:style w:type="character" w:customStyle="1" w:styleId="20">
    <w:name w:val="页脚 Char"/>
    <w:basedOn w:val="13"/>
    <w:link w:val="6"/>
    <w:qFormat/>
    <w:uiPriority w:val="99"/>
    <w:rPr>
      <w:rFonts w:ascii="Times New Roman" w:eastAsia="宋体"/>
      <w:sz w:val="18"/>
      <w:szCs w:val="18"/>
    </w:rPr>
  </w:style>
  <w:style w:type="character" w:customStyle="1" w:styleId="21">
    <w:name w:val="页眉 Char"/>
    <w:basedOn w:val="13"/>
    <w:link w:val="7"/>
    <w:semiHidden/>
    <w:qFormat/>
    <w:uiPriority w:val="99"/>
    <w:rPr>
      <w:sz w:val="18"/>
      <w:szCs w:val="18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批注框文本 Char"/>
    <w:basedOn w:val="13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5824</Words>
  <Characters>5934</Characters>
  <Lines>49</Lines>
  <Paragraphs>14</Paragraphs>
  <TotalTime>2</TotalTime>
  <ScaleCrop>false</ScaleCrop>
  <LinksUpToDate>false</LinksUpToDate>
  <CharactersWithSpaces>5958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2024-02-28T08:47:00Z</dcterms:created>
  <dc:creator>Administrator</dc:creator>
  <cp:lastModifiedBy>kylin</cp:lastModifiedBy>
  <cp:lastPrinted>2024-01-31T02:58:00Z</cp:lastPrinted>
  <dcterms:modified xsi:type="dcterms:W3CDTF">2025-03-04T16:25:49Z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  <property fmtid="{D5CDD505-2E9C-101B-9397-08002B2CF9AE}" pid="3" name="ICV">
    <vt:lpwstr>395681FD81F740A7A0CDEF96E224D98C_13</vt:lpwstr>
  </property>
  <property fmtid="{D5CDD505-2E9C-101B-9397-08002B2CF9AE}" pid="4" name="KSOTemplateDocerSaveRecord">
    <vt:lpwstr>eyJoZGlkIjoiZTFmZDE1NjI3ZGY4ODY1MmU0N2MxOTVlMGYxNzU4ZDQiLCJ1c2VySWQiOiI0MjkxMTM4MTgifQ==</vt:lpwstr>
  </property>
</Properties>
</file>